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4B" w:rsidRPr="00F6129D" w:rsidRDefault="008D7A4B" w:rsidP="008D7A4B">
      <w:pPr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F6129D">
        <w:rPr>
          <w:rFonts w:ascii="方正小标宋简体" w:eastAsia="方正小标宋简体" w:hAnsi="宋体" w:cs="宋体" w:hint="eastAsia"/>
          <w:sz w:val="44"/>
          <w:szCs w:val="44"/>
        </w:rPr>
        <w:t>天津市规划和自然资源局北辰分局</w:t>
      </w:r>
    </w:p>
    <w:p w:rsidR="008D7A4B" w:rsidRPr="00F6129D" w:rsidRDefault="008D7A4B" w:rsidP="008D7A4B">
      <w:pPr>
        <w:shd w:val="clear" w:color="auto" w:fill="FFFFFF"/>
        <w:ind w:firstLine="480"/>
        <w:jc w:val="center"/>
        <w:rPr>
          <w:rFonts w:ascii="黑体" w:eastAsia="黑体" w:hAnsi="宋体" w:cs="宋体"/>
          <w:bCs/>
          <w:sz w:val="44"/>
          <w:szCs w:val="44"/>
        </w:rPr>
      </w:pPr>
      <w:r w:rsidRPr="00F6129D">
        <w:rPr>
          <w:rFonts w:ascii="方正小标宋简体" w:eastAsia="方正小标宋简体" w:hAnsi="宋体" w:cs="宋体" w:hint="eastAsia"/>
          <w:sz w:val="44"/>
          <w:szCs w:val="44"/>
        </w:rPr>
        <w:t>2020年政府信息公开年度报告</w:t>
      </w:r>
    </w:p>
    <w:p w:rsidR="008D7A4B" w:rsidRDefault="008D7A4B" w:rsidP="008D7A4B">
      <w:pPr>
        <w:shd w:val="clear" w:color="auto" w:fill="FFFFFF"/>
        <w:ind w:firstLine="480"/>
        <w:rPr>
          <w:rFonts w:ascii="Times New Roman" w:eastAsia="仿宋_GB2312" w:hAnsi="Times New Roman"/>
          <w:sz w:val="32"/>
          <w:szCs w:val="32"/>
        </w:rPr>
      </w:pPr>
    </w:p>
    <w:p w:rsidR="008D7A4B" w:rsidRDefault="008D7A4B" w:rsidP="008D7A4B">
      <w:pPr>
        <w:shd w:val="clear" w:color="auto" w:fill="FFFFFF"/>
        <w:spacing w:line="500" w:lineRule="exact"/>
        <w:ind w:firstLine="480"/>
        <w:jc w:val="both"/>
        <w:rPr>
          <w:rFonts w:ascii="黑体" w:eastAsia="黑体" w:hAnsi="宋体" w:cs="宋体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度，天津市规划和自然资源局北辰分局坚持“以公开为常态、不公开为例外”的基本原则，认真贯彻落实新版《中华人民共和国政府信息公开条例》，认真做好主动公开和依申请公开工作，并结合行政执法公示制度、行政许可和行政处罚“双公示”工作，不断发挥政府信息公开的作用，更好服务社会公众。</w:t>
      </w:r>
    </w:p>
    <w:p w:rsidR="008D7A4B" w:rsidRDefault="008D7A4B" w:rsidP="008D7A4B">
      <w:pPr>
        <w:shd w:val="clear" w:color="auto" w:fill="FFFFFF"/>
        <w:spacing w:line="50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一、总体情况</w:t>
      </w:r>
    </w:p>
    <w:p w:rsidR="008D7A4B" w:rsidRDefault="008D7A4B" w:rsidP="008D7A4B">
      <w:pPr>
        <w:spacing w:line="5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32"/>
          <w:szCs w:val="32"/>
        </w:rPr>
        <w:t>健全制度，压实责任</w:t>
      </w:r>
    </w:p>
    <w:p w:rsidR="008D7A4B" w:rsidRDefault="008D7A4B" w:rsidP="008D7A4B">
      <w:pPr>
        <w:spacing w:line="500" w:lineRule="exact"/>
        <w:ind w:firstLineChars="196" w:firstLine="627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，分局认真学习新版《中华人民共和国政府信息公开条例》，贯彻落实《天津市规划和自然资源局北辰分局政府信息公开指南》，并在天津市规划和自然资源局网站予以公开，便于社会公众及时查阅。严格执行政府信息网上公开保密审查制度，按照北辰区保密局要求，健全完善审查程序，实行信息拟办、审查、发布各环节严密衔接，确保网站发布的主动公开信息不泄密、可公开。</w:t>
      </w:r>
    </w:p>
    <w:p w:rsidR="008D7A4B" w:rsidRDefault="008D7A4B" w:rsidP="008D7A4B">
      <w:pPr>
        <w:spacing w:line="5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（二）围绕群众关注热点，做好政府信息主动公开</w:t>
      </w:r>
    </w:p>
    <w:p w:rsidR="008D7A4B" w:rsidRDefault="008D7A4B" w:rsidP="008D7A4B">
      <w:pPr>
        <w:spacing w:line="5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围绕群众关注热点，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年度，通过天津市规划和自然资源局网站平台主动公开信息</w:t>
      </w:r>
      <w:r>
        <w:rPr>
          <w:rFonts w:ascii="Times New Roman" w:eastAsia="仿宋_GB2312" w:hAnsi="Times New Roman" w:hint="eastAsia"/>
          <w:sz w:val="32"/>
          <w:szCs w:val="32"/>
        </w:rPr>
        <w:t>786</w:t>
      </w:r>
      <w:r>
        <w:rPr>
          <w:rFonts w:ascii="Times New Roman" w:eastAsia="仿宋_GB2312" w:hAnsi="Times New Roman" w:hint="eastAsia"/>
          <w:sz w:val="32"/>
          <w:szCs w:val="32"/>
        </w:rPr>
        <w:t>条，</w:t>
      </w:r>
      <w:r>
        <w:rPr>
          <w:rFonts w:ascii="仿宋_GB2312" w:eastAsia="仿宋_GB2312" w:hAnsi="仿宋" w:cs="仿宋" w:hint="eastAsia"/>
          <w:sz w:val="32"/>
          <w:szCs w:val="32"/>
        </w:rPr>
        <w:t>本单位基本信息、机关职能、机构设置、年度预算决算等均及时在北辰区人民政府网站平台</w:t>
      </w:r>
      <w:r w:rsidR="001B05AA">
        <w:rPr>
          <w:rFonts w:ascii="仿宋_GB2312" w:eastAsia="仿宋_GB2312" w:hAnsi="仿宋" w:cs="仿宋" w:hint="eastAsia"/>
          <w:sz w:val="32"/>
          <w:szCs w:val="32"/>
        </w:rPr>
        <w:t>或</w:t>
      </w:r>
      <w:r w:rsidR="001B05AA">
        <w:rPr>
          <w:rFonts w:ascii="Times New Roman" w:eastAsia="仿宋_GB2312" w:hAnsi="Times New Roman" w:hint="eastAsia"/>
          <w:sz w:val="32"/>
          <w:szCs w:val="32"/>
        </w:rPr>
        <w:t>天津市规划和自然资源局网站平台</w:t>
      </w:r>
      <w:r>
        <w:rPr>
          <w:rFonts w:ascii="仿宋_GB2312" w:eastAsia="仿宋_GB2312" w:hAnsi="仿宋" w:cs="仿宋" w:hint="eastAsia"/>
          <w:sz w:val="32"/>
          <w:szCs w:val="32"/>
        </w:rPr>
        <w:t>予以公示。</w:t>
      </w:r>
      <w:r>
        <w:rPr>
          <w:rFonts w:ascii="Times New Roman" w:eastAsia="仿宋_GB2312" w:hAnsi="Times New Roman" w:hint="eastAsia"/>
          <w:sz w:val="32"/>
          <w:szCs w:val="32"/>
        </w:rPr>
        <w:t>做好重点领域信息公开工作，主动公示了土地利用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规划、城乡规划、征地信息、不动产登记公告、行政许可结果、行政处罚结果等，确保政府信息的真实性、准确性、权威性，保障公众知情权。严格实施行政执法公示制度，</w:t>
      </w:r>
      <w:r>
        <w:rPr>
          <w:rFonts w:ascii="Times New Roman" w:eastAsia="仿宋_GB2312" w:hAnsi="Times New Roman"/>
          <w:sz w:val="32"/>
          <w:szCs w:val="32"/>
        </w:rPr>
        <w:t>强化事前公开</w:t>
      </w:r>
      <w:r>
        <w:rPr>
          <w:rFonts w:ascii="Times New Roman" w:eastAsia="仿宋_GB2312" w:hAnsi="Times New Roman" w:hint="eastAsia"/>
          <w:sz w:val="32"/>
          <w:szCs w:val="32"/>
        </w:rPr>
        <w:t>、规范事中公示、加强事后公开，积极做好行政许可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和行政处罚信用信息“双公示”。本单位产生的行政许可和行政处罚信用信息，自作出行政决</w:t>
      </w:r>
      <w:r>
        <w:rPr>
          <w:rFonts w:ascii="Times New Roman" w:eastAsia="仿宋_GB2312" w:hAnsi="Times New Roman" w:hint="eastAsia"/>
          <w:sz w:val="32"/>
          <w:szCs w:val="32"/>
        </w:rPr>
        <w:t>定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个工</w:t>
      </w:r>
      <w:r>
        <w:rPr>
          <w:rFonts w:ascii="仿宋_GB2312" w:eastAsia="仿宋_GB2312" w:hAnsi="仿宋_GB2312" w:cs="仿宋_GB2312" w:hint="eastAsia"/>
          <w:sz w:val="32"/>
          <w:szCs w:val="32"/>
        </w:rPr>
        <w:t>作日内，均在天津市规划和自然资源局网站进行了公开，加大了政府信息公开和数据开放力度，推进社会信用体系建设。</w:t>
      </w:r>
    </w:p>
    <w:p w:rsidR="008D7A4B" w:rsidRDefault="008D7A4B" w:rsidP="008D7A4B">
      <w:pPr>
        <w:spacing w:line="5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（三）依法依规做好依申请公开工作</w:t>
      </w:r>
    </w:p>
    <w:p w:rsidR="008D7A4B" w:rsidRDefault="008D7A4B" w:rsidP="008D7A4B">
      <w:pPr>
        <w:shd w:val="clear" w:color="auto" w:fill="FFFFFF"/>
        <w:spacing w:line="500" w:lineRule="exact"/>
        <w:ind w:firstLineChars="200" w:firstLine="640"/>
        <w:jc w:val="both"/>
        <w:rPr>
          <w:rFonts w:ascii="宋体" w:hAnsi="宋体" w:cs="宋体"/>
          <w:sz w:val="24"/>
        </w:rPr>
      </w:pP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年，分局进一步健全了政府信息公开申请登记制度，确保依申请事项全部依法依规登记、审核、办理、答复，不断加强工作规范。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年，共办理依申请政府信息公开</w:t>
      </w:r>
      <w:r>
        <w:rPr>
          <w:rFonts w:ascii="Times New Roman" w:eastAsia="仿宋_GB2312" w:hAnsi="Times New Roman" w:hint="eastAsia"/>
          <w:sz w:val="32"/>
          <w:szCs w:val="32"/>
        </w:rPr>
        <w:t>65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件，已全部办结。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年发生政府信息公开行政复议</w:t>
      </w:r>
      <w:r>
        <w:rPr>
          <w:rFonts w:ascii="Times New Roman" w:eastAsia="仿宋_GB2312" w:hAnsi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件，行政诉讼</w:t>
      </w: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件。</w:t>
      </w:r>
    </w:p>
    <w:p w:rsidR="008D7A4B" w:rsidRDefault="008D7A4B" w:rsidP="008D7A4B">
      <w:pPr>
        <w:shd w:val="clear" w:color="auto" w:fill="FFFFFF"/>
        <w:spacing w:after="240"/>
        <w:ind w:firstLineChars="200" w:firstLine="640"/>
        <w:rPr>
          <w:rFonts w:ascii="黑体" w:eastAsia="黑体" w:hAnsi="宋体" w:cs="宋体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二、主动公开政府信息情况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13"/>
        <w:gridCol w:w="1875"/>
        <w:gridCol w:w="6"/>
        <w:gridCol w:w="1265"/>
        <w:gridCol w:w="1881"/>
      </w:tblGrid>
      <w:tr w:rsidR="008D7A4B" w:rsidTr="008D7A4B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第二十条第（一）项</w:t>
            </w:r>
          </w:p>
        </w:tc>
      </w:tr>
      <w:tr w:rsidR="008D7A4B" w:rsidTr="008D7A4B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对外公开总数量</w:t>
            </w:r>
          </w:p>
        </w:tc>
      </w:tr>
      <w:tr w:rsidR="008D7A4B" w:rsidTr="008D7A4B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8D7A4B" w:rsidTr="008D7A4B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8D7A4B" w:rsidTr="008D7A4B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第二十条第（五）项</w:t>
            </w:r>
          </w:p>
        </w:tc>
      </w:tr>
      <w:tr w:rsidR="008D7A4B" w:rsidTr="008D7A4B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本年增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8D7A4B" w:rsidTr="008D7A4B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AA766C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AA766C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518</w:t>
            </w:r>
          </w:p>
        </w:tc>
      </w:tr>
      <w:tr w:rsidR="008D7A4B" w:rsidTr="008D7A4B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8D7A4B" w:rsidTr="008D7A4B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第二十条第（六）项</w:t>
            </w:r>
          </w:p>
        </w:tc>
      </w:tr>
      <w:tr w:rsidR="008D7A4B" w:rsidTr="008D7A4B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本年增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8D7A4B" w:rsidTr="008D7A4B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A855FE" w:rsidRDefault="00A63308" w:rsidP="009C514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855FE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A855FE" w:rsidRDefault="00A63308" w:rsidP="009C514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855FE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A855FE" w:rsidRDefault="004E3FCA" w:rsidP="009C514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855FE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</w:tr>
      <w:tr w:rsidR="008D7A4B" w:rsidTr="008D7A4B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8D7A4B" w:rsidTr="008D7A4B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第二十条第（八）项</w:t>
            </w:r>
          </w:p>
        </w:tc>
      </w:tr>
      <w:tr w:rsidR="008D7A4B" w:rsidTr="008D7A4B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本年增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减</w:t>
            </w:r>
          </w:p>
        </w:tc>
      </w:tr>
      <w:tr w:rsidR="008D7A4B" w:rsidTr="008D7A4B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8D7A4B" w:rsidTr="008D7A4B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第二十条第（九）项</w:t>
            </w:r>
          </w:p>
        </w:tc>
      </w:tr>
      <w:tr w:rsidR="008D7A4B" w:rsidTr="008D7A4B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采购总金额</w:t>
            </w:r>
          </w:p>
        </w:tc>
      </w:tr>
      <w:tr w:rsidR="008D7A4B" w:rsidTr="008D7A4B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AD2967" w:rsidRDefault="008D7A4B" w:rsidP="009C51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宋体" w:hint="eastAsia"/>
                <w:color w:val="000000"/>
                <w:sz w:val="17"/>
                <w:szCs w:val="17"/>
              </w:rPr>
            </w:pPr>
            <w:r>
              <w:rPr>
                <w:rFonts w:ascii="inherit" w:hAnsi="inherit" w:cs="宋体"/>
                <w:color w:val="000000"/>
                <w:sz w:val="17"/>
                <w:szCs w:val="17"/>
              </w:rPr>
              <w:t>2</w:t>
            </w:r>
            <w:r w:rsidRPr="00AD2967">
              <w:rPr>
                <w:rFonts w:ascii="inherit" w:hAnsi="inherit" w:cs="宋体"/>
                <w:color w:val="000000"/>
                <w:sz w:val="17"/>
                <w:szCs w:val="17"/>
              </w:rPr>
              <w:t>208.205900</w:t>
            </w:r>
            <w:r w:rsidRPr="00AD2967">
              <w:rPr>
                <w:rFonts w:ascii="inherit" w:hAnsi="inherit" w:cs="宋体"/>
                <w:color w:val="000000"/>
                <w:sz w:val="17"/>
                <w:szCs w:val="17"/>
              </w:rPr>
              <w:t>万元</w:t>
            </w:r>
          </w:p>
        </w:tc>
      </w:tr>
    </w:tbl>
    <w:p w:rsidR="008D7A4B" w:rsidRDefault="008D7A4B" w:rsidP="008D7A4B">
      <w:pPr>
        <w:shd w:val="clear" w:color="auto" w:fill="FFFFFF"/>
        <w:spacing w:after="240"/>
        <w:ind w:firstLineChars="200" w:firstLine="480"/>
        <w:rPr>
          <w:rFonts w:ascii="宋体" w:hAnsi="宋体" w:cs="宋体"/>
          <w:color w:val="333333"/>
          <w:sz w:val="24"/>
        </w:rPr>
      </w:pPr>
    </w:p>
    <w:p w:rsidR="008D7A4B" w:rsidRDefault="008D7A4B" w:rsidP="008D7A4B">
      <w:pPr>
        <w:shd w:val="clear" w:color="auto" w:fill="FFFFFF"/>
        <w:spacing w:after="240"/>
        <w:ind w:firstLineChars="200" w:firstLine="640"/>
        <w:rPr>
          <w:rFonts w:ascii="黑体" w:eastAsia="黑体" w:hAnsi="宋体" w:cs="宋体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三、收到和处理政府信息公开申请情况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8D7A4B" w:rsidTr="008D7A4B">
        <w:tc>
          <w:tcPr>
            <w:tcW w:w="35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申请人情况</w:t>
            </w:r>
          </w:p>
        </w:tc>
      </w:tr>
      <w:tr w:rsidR="008D7A4B" w:rsidTr="008D7A4B"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总计</w:t>
            </w:r>
          </w:p>
        </w:tc>
      </w:tr>
      <w:tr w:rsidR="008D7A4B" w:rsidTr="008D7A4B">
        <w:tc>
          <w:tcPr>
            <w:tcW w:w="35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</w:tr>
      <w:tr w:rsidR="008D7A4B" w:rsidTr="008D7A4B">
        <w:tc>
          <w:tcPr>
            <w:tcW w:w="35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65</w:t>
            </w:r>
            <w:r w:rsidRPr="00701FEB">
              <w:rPr>
                <w:rFonts w:ascii="宋体" w:hAnsi="宋体" w:cs="宋体" w:hint="eastAsia"/>
                <w:sz w:val="20"/>
                <w:szCs w:val="20"/>
              </w:rPr>
              <w:t>9</w:t>
            </w:r>
          </w:p>
        </w:tc>
      </w:tr>
      <w:tr w:rsidR="008D7A4B" w:rsidTr="008D7A4B">
        <w:tc>
          <w:tcPr>
            <w:tcW w:w="35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330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337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2.其他法律行政法规</w:t>
            </w: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lastRenderedPageBreak/>
              <w:t>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23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265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265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29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3.要求提供公开出版</w:t>
            </w: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lastRenderedPageBreak/>
              <w:t>物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spacing w:line="500" w:lineRule="exact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8D7A4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  <w:tr w:rsidR="007F44CB" w:rsidTr="008D7A4B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4CB" w:rsidRDefault="007F44C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Default="007F44CB" w:rsidP="009C514D">
            <w:pPr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楷体" w:cs="宋体" w:hint="eastAsia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1978F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1978F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1978F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1978F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1978F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1978F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1978F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65</w:t>
            </w:r>
            <w:r w:rsidRPr="00701FEB">
              <w:rPr>
                <w:rFonts w:ascii="宋体" w:hAnsi="宋体" w:cs="宋体" w:hint="eastAsia"/>
                <w:sz w:val="20"/>
                <w:szCs w:val="20"/>
              </w:rPr>
              <w:t>9</w:t>
            </w:r>
          </w:p>
        </w:tc>
      </w:tr>
      <w:tr w:rsidR="007F44CB" w:rsidTr="008D7A4B">
        <w:tc>
          <w:tcPr>
            <w:tcW w:w="35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Default="007F44CB" w:rsidP="009C51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CB" w:rsidRPr="00701FEB" w:rsidRDefault="007F44C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</w:tr>
    </w:tbl>
    <w:p w:rsidR="008D7A4B" w:rsidRDefault="008D7A4B" w:rsidP="008D7A4B">
      <w:pPr>
        <w:shd w:val="clear" w:color="auto" w:fill="FFFFFF"/>
        <w:ind w:firstLine="480"/>
        <w:rPr>
          <w:rFonts w:ascii="宋体" w:hAnsi="宋体" w:cs="宋体"/>
          <w:sz w:val="24"/>
        </w:rPr>
      </w:pPr>
    </w:p>
    <w:p w:rsidR="008D7A4B" w:rsidRDefault="008D7A4B" w:rsidP="008D7A4B">
      <w:pPr>
        <w:shd w:val="clear" w:color="auto" w:fill="FFFFFF"/>
        <w:ind w:firstLine="482"/>
        <w:rPr>
          <w:rFonts w:ascii="黑体" w:eastAsia="黑体" w:hAnsi="宋体" w:cs="宋体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四、政府信息公开行政复议、行政诉讼情况</w:t>
      </w:r>
    </w:p>
    <w:p w:rsidR="008D7A4B" w:rsidRDefault="008D7A4B" w:rsidP="008D7A4B">
      <w:pPr>
        <w:shd w:val="clear" w:color="auto" w:fill="FFFFFF"/>
        <w:ind w:firstLine="480"/>
        <w:rPr>
          <w:rFonts w:ascii="宋体" w:hAnsi="宋体" w:cs="宋体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D7A4B" w:rsidTr="008D7A4B"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行政诉讼</w:t>
            </w:r>
          </w:p>
        </w:tc>
      </w:tr>
      <w:tr w:rsidR="008D7A4B" w:rsidTr="008D7A4B"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复议后起诉</w:t>
            </w:r>
          </w:p>
        </w:tc>
      </w:tr>
      <w:tr w:rsidR="008D7A4B" w:rsidTr="008D7A4B"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7A4B" w:rsidRDefault="008D7A4B" w:rsidP="009C514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Default="008D7A4B" w:rsidP="009C51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总计</w:t>
            </w:r>
          </w:p>
        </w:tc>
      </w:tr>
      <w:tr w:rsidR="008D7A4B" w:rsidTr="008D7A4B"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A4B" w:rsidRPr="00701FEB" w:rsidRDefault="008D7A4B" w:rsidP="009C51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1FEB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</w:tr>
    </w:tbl>
    <w:p w:rsidR="00E57691" w:rsidRDefault="00E57691" w:rsidP="008D7A4B">
      <w:pPr>
        <w:shd w:val="clear" w:color="auto" w:fill="FFFFFF"/>
        <w:spacing w:after="240"/>
        <w:ind w:firstLineChars="150" w:firstLine="480"/>
        <w:rPr>
          <w:rFonts w:ascii="黑体" w:eastAsia="黑体" w:hAnsi="宋体" w:cs="宋体"/>
          <w:bCs/>
          <w:sz w:val="32"/>
          <w:szCs w:val="32"/>
        </w:rPr>
      </w:pPr>
    </w:p>
    <w:p w:rsidR="008D7A4B" w:rsidRDefault="008D7A4B" w:rsidP="008D7A4B">
      <w:pPr>
        <w:shd w:val="clear" w:color="auto" w:fill="FFFFFF"/>
        <w:spacing w:after="240"/>
        <w:ind w:firstLineChars="150" w:firstLine="480"/>
        <w:rPr>
          <w:rFonts w:ascii="黑体" w:eastAsia="黑体" w:hAnsi="宋体" w:cs="宋体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五、存在的主要问题及改进情况</w:t>
      </w:r>
    </w:p>
    <w:p w:rsidR="008D7A4B" w:rsidRPr="00E57691" w:rsidRDefault="00E57691" w:rsidP="00E57691">
      <w:pPr>
        <w:spacing w:line="560" w:lineRule="exact"/>
        <w:ind w:firstLineChars="196" w:firstLine="627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局政府信息公开工作取得了一定实效，但依申请政府信息公开、行政复议、行政诉讼数量依然较多。下一步，分局将进一步加强新条例的培训和学习，结合实际工作，指导各部门加强对条例的精准把握，依法依规做好政府信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息的主动公开和依申请公开工作，提升信息公开效果，主动回应群众关注热点，进一步改善分局业务流程建设，结合实际情况，规范政府信息公开工作，确保政府信息公开更加高质量。</w:t>
      </w:r>
    </w:p>
    <w:p w:rsidR="008D7A4B" w:rsidRDefault="008D7A4B" w:rsidP="008D7A4B">
      <w:pPr>
        <w:shd w:val="clear" w:color="auto" w:fill="FFFFFF"/>
        <w:spacing w:after="240"/>
        <w:ind w:firstLine="480"/>
        <w:rPr>
          <w:rFonts w:ascii="黑体" w:eastAsia="黑体" w:hAnsi="宋体" w:cs="宋体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六、其他需要报告的事项</w:t>
      </w:r>
    </w:p>
    <w:p w:rsidR="008D7A4B" w:rsidRPr="00E57691" w:rsidRDefault="00E57691" w:rsidP="008D7A4B">
      <w:pPr>
        <w:shd w:val="clear" w:color="auto" w:fill="FFFFFF"/>
        <w:ind w:firstLine="480"/>
        <w:rPr>
          <w:rFonts w:ascii="Times New Roman" w:eastAsia="仿宋_GB2312" w:hAnsi="Times New Roman"/>
          <w:sz w:val="32"/>
          <w:szCs w:val="32"/>
        </w:rPr>
      </w:pPr>
      <w:r w:rsidRPr="00E57691">
        <w:rPr>
          <w:rFonts w:ascii="Times New Roman" w:eastAsia="仿宋_GB2312" w:hAnsi="Times New Roman" w:hint="eastAsia"/>
          <w:sz w:val="32"/>
          <w:szCs w:val="32"/>
        </w:rPr>
        <w:t>无</w:t>
      </w:r>
    </w:p>
    <w:p w:rsidR="004358AB" w:rsidRDefault="004358AB" w:rsidP="00D31D50">
      <w:pPr>
        <w:spacing w:line="220" w:lineRule="atLeast"/>
      </w:pPr>
    </w:p>
    <w:sectPr w:rsidR="004358AB" w:rsidSect="006103B4">
      <w:headerReference w:type="default" r:id="rId6"/>
      <w:footerReference w:type="even" r:id="rId7"/>
      <w:footerReference w:type="default" r:id="rId8"/>
      <w:pgSz w:w="11906" w:h="16838"/>
      <w:pgMar w:top="1440" w:right="1797" w:bottom="155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591" w:rsidRDefault="009B6591" w:rsidP="008D7A4B">
      <w:pPr>
        <w:spacing w:after="0"/>
      </w:pPr>
      <w:r>
        <w:separator/>
      </w:r>
    </w:p>
  </w:endnote>
  <w:endnote w:type="continuationSeparator" w:id="0">
    <w:p w:rsidR="009B6591" w:rsidRDefault="009B6591" w:rsidP="008D7A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85" w:rsidRDefault="00D642D5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 w:rsidR="00027DB0"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027DB0">
      <w:rPr>
        <w:rStyle w:val="a5"/>
        <w:noProof/>
        <w:sz w:val="28"/>
        <w:szCs w:val="28"/>
      </w:rPr>
      <w:t>12</w:t>
    </w:r>
    <w:r>
      <w:rPr>
        <w:sz w:val="28"/>
        <w:szCs w:val="28"/>
      </w:rPr>
      <w:fldChar w:fldCharType="end"/>
    </w:r>
  </w:p>
  <w:p w:rsidR="00061785" w:rsidRDefault="009B659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85" w:rsidRDefault="00D642D5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 w:rsidR="00027DB0"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F44CB">
      <w:rPr>
        <w:rStyle w:val="a5"/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:rsidR="00061785" w:rsidRDefault="009B659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591" w:rsidRDefault="009B6591" w:rsidP="008D7A4B">
      <w:pPr>
        <w:spacing w:after="0"/>
      </w:pPr>
      <w:r>
        <w:separator/>
      </w:r>
    </w:p>
  </w:footnote>
  <w:footnote w:type="continuationSeparator" w:id="0">
    <w:p w:rsidR="009B6591" w:rsidRDefault="009B6591" w:rsidP="008D7A4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85" w:rsidRDefault="009B659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7DB0"/>
    <w:rsid w:val="00031B9D"/>
    <w:rsid w:val="001B05AA"/>
    <w:rsid w:val="00323B43"/>
    <w:rsid w:val="00362AD7"/>
    <w:rsid w:val="003B1A95"/>
    <w:rsid w:val="003D37D8"/>
    <w:rsid w:val="00426133"/>
    <w:rsid w:val="004358AB"/>
    <w:rsid w:val="004A5588"/>
    <w:rsid w:val="004E3FCA"/>
    <w:rsid w:val="006103B4"/>
    <w:rsid w:val="00613396"/>
    <w:rsid w:val="007F44CB"/>
    <w:rsid w:val="008224FC"/>
    <w:rsid w:val="008875E7"/>
    <w:rsid w:val="008B7726"/>
    <w:rsid w:val="008D7A4B"/>
    <w:rsid w:val="009B6591"/>
    <w:rsid w:val="00A63308"/>
    <w:rsid w:val="00A63737"/>
    <w:rsid w:val="00A855FE"/>
    <w:rsid w:val="00AA766C"/>
    <w:rsid w:val="00B04EDE"/>
    <w:rsid w:val="00BA03EF"/>
    <w:rsid w:val="00BF7366"/>
    <w:rsid w:val="00D31D50"/>
    <w:rsid w:val="00D642D5"/>
    <w:rsid w:val="00E57691"/>
    <w:rsid w:val="00EB07C4"/>
    <w:rsid w:val="00F6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D7A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A4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A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A4B"/>
    <w:rPr>
      <w:rFonts w:ascii="Tahoma" w:hAnsi="Tahoma"/>
      <w:sz w:val="18"/>
      <w:szCs w:val="18"/>
    </w:rPr>
  </w:style>
  <w:style w:type="character" w:styleId="a5">
    <w:name w:val="page number"/>
    <w:rsid w:val="008D7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诸葛旭</dc:creator>
  <cp:keywords/>
  <dc:description/>
  <cp:lastModifiedBy>Administrator</cp:lastModifiedBy>
  <cp:revision>13</cp:revision>
  <cp:lastPrinted>2021-01-26T03:24:00Z</cp:lastPrinted>
  <dcterms:created xsi:type="dcterms:W3CDTF">2008-09-11T17:20:00Z</dcterms:created>
  <dcterms:modified xsi:type="dcterms:W3CDTF">2021-01-26T08:54:00Z</dcterms:modified>
</cp:coreProperties>
</file>