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ascii="Times New Roman" w:hAnsi="Times New Roman" w:eastAsia="方正小标宋简体" w:cs="方正小标宋简体"/>
          <w:kern w:val="0"/>
          <w:sz w:val="48"/>
          <w:szCs w:val="48"/>
          <w:highlight w:val="none"/>
          <w:lang w:val="zh-CN"/>
        </w:rPr>
      </w:pPr>
      <w:r>
        <w:rPr>
          <w:rFonts w:hint="eastAsia" w:ascii="Times New Roman" w:hAnsi="Times New Roman" w:eastAsia="方正小标宋简体" w:cs="方正小标宋简体"/>
          <w:kern w:val="0"/>
          <w:sz w:val="48"/>
          <w:szCs w:val="48"/>
          <w:highlight w:val="none"/>
          <w:lang w:val="zh-CN"/>
        </w:rPr>
        <w:t/>
        <w:t>天津市规划和自然资源局河东分局</w:t>
      </w:r>
      <w:r>
        <w:rPr>
          <w:rFonts w:hint="eastAsia" w:ascii="Times New Roman" w:hAnsi="Times New Roman" w:eastAsia="方正小标宋简体" w:cs="方正小标宋简体"/>
          <w:kern w:val="0"/>
          <w:sz w:val="48"/>
          <w:szCs w:val="48"/>
          <w:highlight w:val="none"/>
          <w:lang w:val="zh-CN"/>
        </w:rPr>
        <w:t/>
        <w:t>2023年度部门决算</w:t>
      </w: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ascii="Times New Roman" w:hAnsi="Times New Roman" w:eastAsia="黑体" w:cs="黑体"/>
          <w:sz w:val="30"/>
          <w:szCs w:val="30"/>
          <w:highlight w:val="none"/>
        </w:rPr>
        <w:br w:type="page"/>
      </w:r>
    </w:p>
    <w:p>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hint="eastAsia" w:ascii="Times New Roman" w:hAnsi="Times New Roman" w:eastAsia="黑体" w:cs="黑体"/>
          <w:kern w:val="0"/>
          <w:sz w:val="44"/>
          <w:szCs w:val="44"/>
          <w:highlight w:val="none"/>
        </w:rPr>
        <w:t/>
        <w:t>目</w:t>
      </w:r>
      <w:r>
        <w:rPr>
          <w:rFonts w:hint="eastAsia" w:ascii="Times New Roman" w:hAnsi="Times New Roman" w:eastAsia="黑体" w:cs="黑体"/>
          <w:kern w:val="0"/>
          <w:sz w:val="44"/>
          <w:szCs w:val="44"/>
          <w:highlight w:val="none"/>
          <w:lang w:val="en-US" w:eastAsia="zh-CN"/>
        </w:rPr>
        <w:t xml:space="preserve"/>
        <w:t xml:space="preserve">   </w:t>
      </w:r>
      <w:r>
        <w:rPr>
          <w:rFonts w:hint="eastAsia" w:ascii="Times New Roman" w:hAnsi="Times New Roman" w:eastAsia="黑体" w:cs="黑体"/>
          <w:kern w:val="0"/>
          <w:sz w:val="44"/>
          <w:szCs w:val="44"/>
          <w:highlight w:val="none"/>
        </w:rPr>
        <w:t/>
        <w:t>录</w:t>
      </w:r>
    </w:p>
    <w:p>
      <w:pPr>
        <w:autoSpaceDE w:val="0"/>
        <w:autoSpaceDN w:val="0"/>
        <w:adjustRightInd w:val="0"/>
        <w:spacing w:line="600" w:lineRule="exact"/>
        <w:jc w:val="left"/>
        <w:rPr>
          <w:rFonts w:ascii="Times New Roman" w:hAnsi="Times New Roman" w:eastAsia="黑体" w:cs="黑体"/>
          <w:kern w:val="0"/>
          <w:sz w:val="30"/>
          <w:szCs w:val="30"/>
          <w:highlight w:val="none"/>
        </w:rPr>
      </w:pP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
        <w:t>第一部分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rPr>
        <w:t/>
        <w:t>概</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rPr>
        <w:t/>
        <w:t>况</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一、主要职责</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二、机构设置</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
        <w:t>第二部分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lang w:eastAsia="zh-CN"/>
        </w:rPr>
        <w:t/>
        <w:t>2023</w:t>
      </w:r>
      <w:r>
        <w:rPr>
          <w:rFonts w:hint="eastAsia" w:ascii="Times New Roman" w:hAnsi="Times New Roman" w:eastAsia="方正小标宋简体" w:cs="方正小标宋简体"/>
          <w:kern w:val="0"/>
          <w:sz w:val="30"/>
          <w:szCs w:val="30"/>
          <w:highlight w:val="none"/>
        </w:rPr>
        <w:t/>
        <w:t>年度部门决算表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一、收入支出决算总表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二、收入决算表（按功能分类列示）</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三、收入决算表（按单位列示）</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四、支出决算表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五、财政拨款收入支出决算总表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六、一般公共预算财政拨款支出决算表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七、一般公共预算财政拨款基本支出决算表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八、政府性基金预算财政拨款收入支出决算表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九、国有资本经营预算财政拨款收入支出决算表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十、财政拨款</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十一、项目支出决算表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十二、关于空表的说明</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
        <w:t>第三部分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lang w:eastAsia="zh-CN"/>
        </w:rPr>
        <w:t/>
        <w:t>2023</w:t>
      </w:r>
      <w:r>
        <w:rPr>
          <w:rFonts w:hint="eastAsia" w:ascii="Times New Roman" w:hAnsi="Times New Roman" w:eastAsia="方正小标宋简体" w:cs="方正小标宋简体"/>
          <w:kern w:val="0"/>
          <w:sz w:val="30"/>
          <w:szCs w:val="30"/>
          <w:highlight w:val="none"/>
        </w:rPr>
        <w:t/>
        <w:t>年度部门决算情况说明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一、收支决算总体情况说明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二、收入决算情况说明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三、支出决算情况说明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四、财政拨款收支决算总体情况说明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五、一般公共预算财政拨款支出决算情况说明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六、一般公共预算财政拨款基本支出决算情况说明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七、政府性基金预算财政拨款收支决算情况说明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八、国有资本经营预算财政拨款收支决算情况说明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九、财政拨款</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十、机关运行经费支出情况说明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十一、政府采购支出情况说明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十二、国有资产占有使用情况说明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十三、预算绩效情况说明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lang w:val="en"/>
        </w:rPr>
      </w:pPr>
      <w:r>
        <w:rPr>
          <w:rFonts w:hint="eastAsia" w:ascii="Times New Roman" w:hAnsi="Times New Roman" w:eastAsia="仿宋_GB2312" w:cs="仿宋_GB2312"/>
          <w:kern w:val="0"/>
          <w:sz w:val="30"/>
          <w:szCs w:val="30"/>
          <w:highlight w:val="none"/>
        </w:rPr>
        <w:t/>
        <w:t>十四、教育、医疗卫生、社会保障和就业、住房保障、涉农补贴等民生支出情况说明</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lang w:val="en"/>
        </w:rPr>
      </w:pPr>
      <w:r>
        <w:rPr>
          <w:rFonts w:hint="eastAsia" w:ascii="Times New Roman" w:hAnsi="Times New Roman" w:eastAsia="方正小标宋简体" w:cs="方正小标宋简体"/>
          <w:kern w:val="0"/>
          <w:sz w:val="30"/>
          <w:szCs w:val="30"/>
          <w:highlight w:val="none"/>
          <w:lang w:val="en"/>
        </w:rPr>
        <w:t/>
        <w:t>第四部分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lang w:val="en"/>
        </w:rPr>
        <w:t/>
        <w:t>名词解释</w:t>
      </w:r>
    </w:p>
    <w:p>
      <w:pPr>
        <w:autoSpaceDE w:val="0"/>
        <w:autoSpaceDN w:val="0"/>
        <w:adjustRightInd w:val="0"/>
        <w:spacing w:line="700" w:lineRule="exact"/>
        <w:jc w:val="left"/>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第一部分</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rPr>
        <w:t/>
        <w:t>概</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rPr>
        <w:t/>
        <w:t>况</w:t>
      </w:r>
    </w:p>
    <w:p>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一、主要职责</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（一）贯彻执行城乡规划、自然资源、测绘地理信息、地名、城建档案管理等法律法规、方针政策、决策部署，组织实施有关地方法规规章和政策文件等。</w:t>
        <w:br/>
        <w:t>（二）承担本辖区土地、矿产、水资源自然资源资产所有者职责和所有国土空间用途管制职责。</w:t>
        <w:br/>
        <w:t>（三）落实全民所有自然资源资产统计制度，依据法律法规或市政府规定，承担本辖区职责范围内自然资源价值评估和资产核算工作。负责本辖区自然资源资产划拨、出让（除商业、旅游、娱乐、商品住宅等公开出让）、租赁、作价出资（入股）,指导监督本辖区土地储备工作，组织审核土地开发项目方案并实施,负责核发建设用地批准书和国有土地划拨决定书。</w:t>
        <w:br/>
        <w:t>（四）负责本辖区自然资源的合理开发利用工作。负责本辖区自然资源市场监督管理和动态监测，负责地价管理工作，落实自然资源节约集约利用。负责本辖区职责范围内供地方案的编制和报审工作。负责本辖区土地供后监管工作。</w:t>
        <w:br/>
        <w:t>（五）落实空间规划体系并组织实施。落实“一张蓝图、多规合一”，组织编制并实施本辖区控制性详细规划、城市设计。完成市局下达的规划编制任务，配合编制专项规划。</w:t>
        <w:br/>
        <w:t>（六）开展本辖区国土空间开发适宜性评价，落实国土空间规划实施监测、评估和预警体系。配合划定生态保护红线, 构建节约资源和保护环境的生产、生活、生态空间布局。落实国土空间用途管制制度，负责本辖区职责范围内用地预审工作。负责本辖区职责范围内建设用地、建设工程的许可工作。</w:t>
        <w:br/>
        <w:t>（七）承担本辖区职责范围内历史文化名城、历史文化街区以及历史建筑的规划管理工作。协助做好本辖区职责范围内地下管线工程信息管理工作。</w:t>
        <w:br/>
        <w:t>（八）负责本辖区国土空间和自然资源生态修复。负责本辖区职责范围内国土空间综合整治工作，组织制定本辖区合理利用社会资金进行生态修复的措施，提出重点备选项目。</w:t>
        <w:br/>
        <w:t>（九）负责落实本辖区职责范围内的综合防灾减灾规划相关要求，监督本辖区地面沉降的防治管理，配合有关部门对地下水过量开采的监督管理。负责协调推动本辖区地质矿产勘查项目实施。</w:t>
        <w:br/>
        <w:t>（十）负责落实天津市矿产资源规划，负责矿产资源勘察开发和保护的监督管理。</w:t>
        <w:br/>
        <w:t>（十一）负责本辖区测绘地理信息市场监管、测绘作业证核发等测绘地理信息管理工作。</w:t>
        <w:br/>
        <w:t>（十二）推动规划和自然资源领域科技发展。落实技术标准、规程规范。配合实施重大科技工程及创新能力建设，推进规划和自然资源信息化和信息资料的公共服务。</w:t>
        <w:br/>
        <w:t>（十三）负责本辖区地名、城建档案的管理工作。</w:t>
        <w:br/>
        <w:t>（十四）严格执行规划和自然资源行政执法法律、法规、规章。查处本辖区职责范围内自然资源开发利用和国土空间规划及测绘、地名、城建档案等违法案件。负责本辖区建设工程规划证后管理工作。</w:t>
        <w:br/>
        <w:t>（十五）负责本辖区职责范围内规划和自然资源信访、政府信息公开、行政复议答复和行政诉讼应诉工作。</w:t>
        <w:br/>
        <w:t>（十六）完成市局交办的其他事项。</w:t>
        <w:br/>
        <w:t>（十七）有关职责分工。</w:t>
        <w:br/>
        <w:t>与区住房和城乡建设委在地面沉降防治方面的分工。</w:t>
        <w:br/>
        <w:t>区住房和城乡建设委负责本辖区地面沉降的防治管理。市规划和自然资源局河东分局负责监督本辖区地面沉降的防治管理。</w:t>
        <w:br/>
        <w:t xml:space="preserve">                                                                                                                                                                                                                                                                                                     </w:t>
      </w:r>
    </w:p>
    <w:p>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二、机构设置</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天津市规划和自然资源局河东分局</w:t>
      </w:r>
      <w:r>
        <w:rPr>
          <w:rFonts w:hint="eastAsia" w:ascii="Times New Roman" w:hAnsi="Times New Roman" w:eastAsia="仿宋_GB2312" w:cs="仿宋_GB2312"/>
          <w:sz w:val="30"/>
          <w:szCs w:val="30"/>
          <w:highlight w:val="none"/>
          <w:lang w:eastAsia="zh-CN"/>
        </w:rPr>
        <w:t/>
        <w:t>内设8</w:t>
      </w:r>
      <w:r>
        <w:rPr>
          <w:rFonts w:hint="eastAsia" w:ascii="Times New Roman" w:hAnsi="Times New Roman" w:eastAsia="仿宋_GB2312" w:cs="仿宋_GB2312"/>
          <w:sz w:val="30"/>
          <w:szCs w:val="30"/>
          <w:highlight w:val="none"/>
          <w:lang w:eastAsia="zh-CN"/>
        </w:rPr>
        <w:t/>
        <w:t>个职能科室</w:t>
      </w:r>
      <w:r>
        <w:rPr>
          <w:rFonts w:hint="eastAsia" w:ascii="Times New Roman" w:hAnsi="Times New Roman" w:eastAsia="仿宋_GB2312" w:cs="仿宋_GB2312"/>
          <w:sz w:val="30"/>
          <w:szCs w:val="30"/>
          <w:highlight w:val="none"/>
          <w:lang w:eastAsia="zh-CN"/>
        </w:rPr>
        <w:t/>
        <w:t>；下辖0</w:t>
      </w:r>
      <w:r>
        <w:rPr>
          <w:rFonts w:hint="eastAsia" w:ascii="Times New Roman" w:hAnsi="Times New Roman" w:eastAsia="仿宋_GB2312" w:cs="仿宋_GB2312"/>
          <w:sz w:val="30"/>
          <w:szCs w:val="30"/>
          <w:highlight w:val="none"/>
          <w:lang w:eastAsia="zh-CN"/>
        </w:rPr>
        <w:t/>
        <w:t>个预算单位。纳入天津市规划和自然资源局河东分局</w:t>
      </w:r>
      <w:r>
        <w:rPr>
          <w:rFonts w:hint="eastAsia" w:ascii="Times New Roman" w:hAnsi="Times New Roman" w:eastAsia="仿宋_GB2312" w:cs="仿宋_GB2312"/>
          <w:sz w:val="30"/>
          <w:szCs w:val="30"/>
          <w:highlight w:val="none"/>
          <w:lang w:eastAsia="zh-CN"/>
        </w:rPr>
        <w:t/>
        <w:t>2023年度部门决算编制范围的单位包括：</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1. 天津市规划和自然资源局河东分局本级</w:t>
      </w:r>
    </w:p>
    <w:p>
      <w:pPr>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第二部分</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lang w:eastAsia="zh-CN"/>
        </w:rPr>
        <w:t/>
        <w:t>2023</w:t>
      </w:r>
      <w:r>
        <w:rPr>
          <w:rFonts w:hint="eastAsia" w:ascii="Times New Roman" w:hAnsi="Times New Roman" w:eastAsia="方正小标宋简体" w:cs="方正小标宋简体"/>
          <w:kern w:val="44"/>
          <w:sz w:val="44"/>
          <w:szCs w:val="44"/>
          <w:highlight w:val="none"/>
        </w:rPr>
        <w:t/>
        <w:t>年度部门决算表</w:t>
      </w:r>
    </w:p>
    <w:p>
      <w:pPr>
        <w:autoSpaceDE w:val="0"/>
        <w:autoSpaceDN w:val="0"/>
        <w:adjustRightInd w:val="0"/>
        <w:spacing w:line="600" w:lineRule="exact"/>
        <w:jc w:val="left"/>
        <w:rPr>
          <w:rFonts w:ascii="Times New Roman" w:hAnsi="Times New Roman" w:eastAsia="方正小标宋简体" w:cs="Times New Roman"/>
          <w:kern w:val="0"/>
          <w:sz w:val="24"/>
          <w:szCs w:val="24"/>
          <w:highlight w:val="none"/>
        </w:rPr>
      </w:pP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一、《收入支出决算总表》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二、《收入决算表（按功能分类列示）》</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三、《收入决算表（按单位列示）》</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四、《支出决算表》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五、《财政拨款收入支出决算总表》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六、《一般公共预算财政拨款支出决算表》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七、《一般公共预算财政拨款基本支出决算表》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八、《政府性基金预算财政拨款收入支出决算表》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九、《国有资本经营预算财政拨款收入支出决算表》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十、《财政拨款</w:t>
      </w:r>
      <w:r>
        <w:rPr>
          <w:rFonts w:ascii="Times New Roman" w:hAnsi="Times New Roman" w:eastAsia="黑体" w:cs="黑体"/>
          <w:kern w:val="0"/>
          <w:sz w:val="30"/>
          <w:szCs w:val="30"/>
          <w:highlight w:val="none"/>
        </w:rPr>
        <w:t/>
        <w:t>“</w:t>
      </w:r>
      <w:r>
        <w:rPr>
          <w:rFonts w:hint="eastAsia" w:ascii="Times New Roman" w:hAnsi="Times New Roman" w:eastAsia="黑体" w:cs="黑体"/>
          <w:kern w:val="0"/>
          <w:sz w:val="30"/>
          <w:szCs w:val="30"/>
          <w:highlight w:val="none"/>
        </w:rPr>
        <w:t/>
        <w:t>三公</w:t>
      </w:r>
      <w:r>
        <w:rPr>
          <w:rFonts w:ascii="Times New Roman" w:hAnsi="Times New Roman" w:eastAsia="黑体" w:cs="黑体"/>
          <w:kern w:val="0"/>
          <w:sz w:val="30"/>
          <w:szCs w:val="30"/>
          <w:highlight w:val="none"/>
        </w:rPr>
        <w:t/>
        <w:t>”</w:t>
      </w:r>
      <w:r>
        <w:rPr>
          <w:rFonts w:hint="eastAsia" w:ascii="Times New Roman" w:hAnsi="Times New Roman" w:eastAsia="黑体" w:cs="黑体"/>
          <w:kern w:val="0"/>
          <w:sz w:val="30"/>
          <w:szCs w:val="30"/>
          <w:highlight w:val="none"/>
        </w:rPr>
        <w:t/>
        <w:t>经费支出决算表》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十一、《项目支出决算表》</w:t>
      </w:r>
    </w:p>
    <w:p>
      <w:pPr>
        <w:autoSpaceDE w:val="0"/>
        <w:autoSpaceDN w:val="0"/>
        <w:adjustRightInd w:val="0"/>
        <w:spacing w:line="800" w:lineRule="exact"/>
        <w:jc w:val="left"/>
        <w:rPr>
          <w:rFonts w:ascii="Times New Roman" w:hAnsi="Times New Roman" w:eastAsia="楷体" w:cs="楷体"/>
          <w:kern w:val="0"/>
          <w:sz w:val="30"/>
          <w:szCs w:val="30"/>
          <w:highlight w:val="none"/>
        </w:rPr>
      </w:pPr>
      <w:r>
        <w:rPr>
          <w:rFonts w:hint="eastAsia" w:ascii="Times New Roman" w:hAnsi="Times New Roman" w:eastAsia="楷体" w:cs="楷体"/>
          <w:kern w:val="0"/>
          <w:sz w:val="30"/>
          <w:szCs w:val="30"/>
          <w:highlight w:val="none"/>
        </w:rPr>
        <w:t/>
        <w:t>注：以上决算公开表均作为附表，附于决算公开说明文档后。</w:t>
      </w:r>
    </w:p>
    <w:p>
      <w:pPr>
        <w:autoSpaceDE w:val="0"/>
        <w:autoSpaceDN w:val="0"/>
        <w:adjustRightInd w:val="0"/>
        <w:spacing w:line="600" w:lineRule="exact"/>
        <w:jc w:val="left"/>
        <w:rPr>
          <w:rFonts w:ascii="Times New Roman" w:hAnsi="Times New Roman" w:eastAsia="黑体" w:cs="黑体"/>
          <w:b/>
          <w:bCs/>
          <w:kern w:val="0"/>
          <w:sz w:val="30"/>
          <w:szCs w:val="30"/>
          <w:highlight w:val="none"/>
        </w:rPr>
      </w:pPr>
      <w:r>
        <w:rPr>
          <w:rFonts w:ascii="Times New Roman" w:hAnsi="Times New Roman" w:eastAsia="楷体" w:cs="Times New Roman"/>
          <w:kern w:val="0"/>
          <w:sz w:val="24"/>
          <w:szCs w:val="24"/>
          <w:highlight w:val="none"/>
        </w:rPr>
        <w:br w:type="page"/>
      </w:r>
      <w:r>
        <w:rPr>
          <w:rFonts w:hint="eastAsia" w:ascii="Times New Roman" w:hAnsi="Times New Roman" w:eastAsia="黑体" w:cs="黑体"/>
          <w:b/>
          <w:bCs/>
          <w:kern w:val="0"/>
          <w:sz w:val="30"/>
          <w:szCs w:val="30"/>
          <w:highlight w:val="none"/>
        </w:rPr>
        <w:t/>
        <w:t>十二、关于空表的说明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1.天津市规划和自然资源局河东分局2023年度政府性基金预算财政拨款收入支出决算表为空表。</w:t>
        <w:br/>
        <w:t>2.天津市规划和自然资源局河东分局2023年度国有资本经营预算财政拨款收入支出决算表为空表。</w:t>
        <w:br/>
        <w:t>3.天津市规划和自然资源局河东分局2023年度财政拨款“三公”经费支出决算表为空表。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p>
    <w:p>
      <w:pPr>
        <w:keepNext/>
        <w:keepLines/>
        <w:autoSpaceDE w:val="0"/>
        <w:autoSpaceDN w:val="0"/>
        <w:adjustRightInd w:val="0"/>
        <w:spacing w:line="600" w:lineRule="exact"/>
        <w:ind w:firstLine="600"/>
        <w:jc w:val="left"/>
        <w:outlineLvl w:val="1"/>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第三部分</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lang w:eastAsia="zh-CN"/>
        </w:rPr>
        <w:t/>
        <w:t>2023</w:t>
      </w:r>
      <w:r>
        <w:rPr>
          <w:rFonts w:hint="eastAsia" w:ascii="Times New Roman" w:hAnsi="Times New Roman" w:eastAsia="方正小标宋简体" w:cs="方正小标宋简体"/>
          <w:kern w:val="44"/>
          <w:sz w:val="44"/>
          <w:szCs w:val="44"/>
          <w:highlight w:val="none"/>
        </w:rPr>
        <w:t/>
        <w:t>年度部门决算情况说明</w:t>
      </w:r>
    </w:p>
    <w:p>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
        <w:t>一、收入支出决算总体情况说明</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val="zh-CN" w:eastAsia="zh-CN"/>
        </w:rPr>
        <w:t/>
        <w:t>天津市规划和自然资源局河东分局</w:t>
      </w:r>
      <w:r>
        <w:rPr>
          <w:rFonts w:hint="eastAsia" w:ascii="Times New Roman" w:hAnsi="Times New Roman" w:eastAsia="仿宋_GB2312" w:cs="仿宋_GB2312"/>
          <w:sz w:val="30"/>
          <w:szCs w:val="30"/>
          <w:highlight w:val="none"/>
          <w:lang w:val="zh-CN" w:eastAsia="zh-CN"/>
        </w:rPr>
        <w:t/>
        <w:t>2023年度收入、支出决算总计</w:t>
      </w:r>
      <w:r>
        <w:rPr>
          <w:rFonts w:hint="eastAsia" w:ascii="Times New Roman" w:hAnsi="Times New Roman" w:eastAsia="仿宋_GB2312" w:cs="仿宋_GB2312"/>
          <w:sz w:val="30"/>
          <w:szCs w:val="30"/>
          <w:highlight w:val="none"/>
          <w:lang w:eastAsia="zh-CN"/>
        </w:rPr>
        <w:t/>
        <w:t>9,976,106.21</w:t>
      </w:r>
      <w:r>
        <w:rPr>
          <w:rFonts w:hint="eastAsia" w:ascii="Times New Roman" w:hAnsi="Times New Roman" w:eastAsia="仿宋_GB2312" w:cs="仿宋_GB2312"/>
          <w:sz w:val="30"/>
          <w:szCs w:val="30"/>
          <w:highlight w:val="none"/>
          <w:lang w:eastAsia="zh-CN"/>
        </w:rPr>
        <w:t/>
        <w:t>元，与2022年度相比，收、支总计各增加540,126.19</w:t>
      </w:r>
      <w:r>
        <w:rPr>
          <w:rFonts w:hint="eastAsia" w:ascii="Times New Roman" w:hAnsi="Times New Roman" w:eastAsia="仿宋_GB2312" w:cs="仿宋_GB2312"/>
          <w:sz w:val="30"/>
          <w:szCs w:val="30"/>
          <w:highlight w:val="none"/>
          <w:lang w:eastAsia="zh-CN"/>
        </w:rPr>
        <w:t/>
        <w:t>元，增长5.72</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lang w:val="zh-CN" w:eastAsia="zh-CN"/>
        </w:rPr>
        <w:t/>
        <w:t>主要原因是</w:t>
      </w:r>
      <w:r>
        <w:rPr>
          <w:rFonts w:hint="eastAsia" w:ascii="Times New Roman" w:hAnsi="Times New Roman" w:eastAsia="仿宋_GB2312" w:cs="仿宋_GB2312"/>
          <w:sz w:val="30"/>
          <w:szCs w:val="30"/>
          <w:highlight w:val="none"/>
          <w:lang w:eastAsia="zh-CN"/>
        </w:rPr>
        <w:t/>
        <w:t>：本年新增项目支出。</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二、</w:t>
      </w:r>
      <w:r>
        <w:rPr>
          <w:rFonts w:hint="eastAsia" w:ascii="Times New Roman" w:hAnsi="Times New Roman" w:eastAsia="黑体" w:cs="黑体"/>
          <w:b/>
          <w:bCs/>
          <w:kern w:val="0"/>
          <w:sz w:val="30"/>
          <w:szCs w:val="30"/>
          <w:highlight w:val="none"/>
        </w:rPr>
        <w:t/>
        <w:t>收入决算情况</w:t>
      </w:r>
      <w:r>
        <w:rPr>
          <w:rFonts w:hint="eastAsia" w:ascii="Times New Roman" w:hAnsi="Times New Roman" w:eastAsia="黑体" w:cs="黑体"/>
          <w:b/>
          <w:bCs/>
          <w:kern w:val="0"/>
          <w:sz w:val="30"/>
          <w:szCs w:val="30"/>
          <w:highlight w:val="none"/>
          <w:lang w:val="zh-CN"/>
        </w:rPr>
        <w:t/>
        <w:t>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
        <w:t>天津市规划和自然资源局河东分局</w:t>
      </w:r>
      <w:r>
        <w:rPr>
          <w:rFonts w:hint="eastAsia" w:ascii="Times New Roman" w:hAnsi="Times New Roman" w:eastAsia="仿宋_GB2312" w:cs="Times New Roman"/>
          <w:sz w:val="30"/>
          <w:szCs w:val="30"/>
          <w:highlight w:val="none"/>
          <w:lang w:eastAsia="zh-CN"/>
        </w:rPr>
        <w:t/>
        <w:t>2023</w:t>
      </w:r>
      <w:r>
        <w:rPr>
          <w:rFonts w:hint="eastAsia" w:ascii="Times New Roman" w:hAnsi="Times New Roman" w:eastAsia="仿宋_GB2312" w:cs="仿宋_GB2312"/>
          <w:sz w:val="30"/>
          <w:szCs w:val="30"/>
          <w:highlight w:val="none"/>
          <w:lang w:val="zh-CN"/>
        </w:rPr>
        <w:t/>
        <w:t>年度本年收入合计</w:t>
      </w:r>
      <w:r>
        <w:rPr>
          <w:rFonts w:hint="eastAsia" w:ascii="Times New Roman" w:hAnsi="Times New Roman" w:eastAsia="仿宋_GB2312" w:cs="Times New Roman"/>
          <w:sz w:val="30"/>
          <w:szCs w:val="30"/>
          <w:highlight w:val="none"/>
          <w:lang w:eastAsia="zh-CN"/>
        </w:rPr>
        <w:t/>
        <w:t>9,953,164.19</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w:t>
      </w:r>
      <w:r>
        <w:rPr>
          <w:rFonts w:hint="eastAsia" w:ascii="Times New Roman" w:hAnsi="Times New Roman" w:eastAsia="仿宋_GB2312" w:cs="仿宋_GB2312"/>
          <w:sz w:val="30"/>
          <w:szCs w:val="30"/>
          <w:highlight w:val="none"/>
          <w:lang w:eastAsia="zh-CN"/>
        </w:rPr>
        <w:t/>
        <w:t>增加</w:t>
      </w:r>
      <w:r>
        <w:rPr>
          <w:rFonts w:hint="eastAsia" w:ascii="Times New Roman" w:hAnsi="Times New Roman" w:eastAsia="仿宋_GB2312" w:cs="仿宋_GB2312"/>
          <w:sz w:val="30"/>
          <w:szCs w:val="30"/>
          <w:highlight w:val="none"/>
          <w:lang w:eastAsia="zh-CN"/>
        </w:rPr>
        <w:t/>
        <w:t>526,004.35</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kern w:val="0"/>
          <w:sz w:val="30"/>
          <w:szCs w:val="30"/>
          <w:highlight w:val="none"/>
          <w:lang w:val="zh-CN"/>
        </w:rPr>
        <w:t/>
        <w:t>主要原因是</w:t>
      </w:r>
      <w:r>
        <w:rPr>
          <w:rFonts w:hint="eastAsia"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lang w:eastAsia="zh-CN"/>
        </w:rPr>
        <w:t/>
        <w:t>本年新增项目支出。</w:t>
      </w:r>
    </w:p>
    <w:p>
      <w:pPr>
        <w:autoSpaceDE w:val="0"/>
        <w:autoSpaceDN w:val="0"/>
        <w:adjustRightInd w:val="0"/>
        <w:spacing w:line="600" w:lineRule="exact"/>
        <w:ind w:firstLine="600"/>
        <w:jc w:val="left"/>
        <w:rPr>
          <w:rFonts w:hint="eastAsia" w:ascii="Times New Roman" w:hAnsi="Times New Roman" w:eastAsia="宋体" w:cs="Times New Roman"/>
          <w:sz w:val="30"/>
          <w:szCs w:val="30"/>
          <w:highlight w:val="none"/>
          <w:lang w:eastAsia="zh-CN"/>
        </w:rPr>
      </w:pPr>
      <w:r>
        <w:rPr>
          <w:rFonts w:hint="eastAsia" w:ascii="Times New Roman" w:hAnsi="Times New Roman" w:eastAsia="仿宋_GB2312" w:cs="仿宋_GB2312"/>
          <w:sz w:val="30"/>
          <w:szCs w:val="30"/>
          <w:highlight w:val="none"/>
        </w:rPr>
        <w:t/>
        <w:t>其中：</w:t>
      </w:r>
      <w:r>
        <w:rPr>
          <w:rFonts w:ascii="Times New Roman" w:hAnsi="Times New Roman" w:eastAsia="仿宋_GB2312" w:cs="仿宋_GB2312"/>
          <w:sz w:val="30"/>
          <w:szCs w:val="30"/>
          <w:highlight w:val="none"/>
          <w:lang w:val="zh-CN"/>
        </w:rPr>
        <w:t/>
        <w:t>一般公共预算财政拨款收入</w:t>
      </w:r>
      <w:r>
        <w:rPr>
          <w:rFonts w:hint="eastAsia" w:ascii="Times New Roman" w:hAnsi="Times New Roman" w:eastAsia="仿宋_GB2312" w:cs="Times New Roman"/>
          <w:sz w:val="30"/>
          <w:szCs w:val="30"/>
          <w:highlight w:val="none"/>
          <w:lang w:eastAsia="zh-CN"/>
        </w:rPr>
        <w:t/>
        <w:t>9,804,665.20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，占</w:t>
      </w:r>
      <w:r>
        <w:rPr>
          <w:rFonts w:hint="eastAsia" w:ascii="Times New Roman" w:hAnsi="Times New Roman" w:eastAsia="仿宋_GB2312" w:cs="Times New Roman"/>
          <w:sz w:val="30"/>
          <w:szCs w:val="30"/>
          <w:highlight w:val="none"/>
          <w:lang w:eastAsia="zh-CN"/>
        </w:rPr>
        <w:t/>
        <w:t>98.51</w:t>
      </w:r>
      <w:r>
        <w:rPr>
          <w:rFonts w:hint="eastAsia" w:ascii="Times New Roman" w:hAnsi="Times New Roman" w:eastAsia="宋体" w:cs="Times New Roman"/>
          <w:sz w:val="30"/>
          <w:szCs w:val="30"/>
          <w:highlight w:val="none"/>
          <w:lang w:eastAsia="zh-CN"/>
        </w:rPr>
        <w:t/>
        <w:t>%；</w:t>
      </w:r>
      <w:bookmarkStart w:id="0" w:name="_GoBack"/>
      <w:bookmarkEnd w:id="0"/>
    </w:p>
    <w:p>
      <w:pPr>
        <w:autoSpaceDE w:val="0"/>
        <w:autoSpaceDN w:val="0"/>
        <w:adjustRightInd w:val="0"/>
        <w:spacing w:line="600" w:lineRule="exact"/>
        <w:ind w:firstLine="600" w:firstLineChars="2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政府性基金预算财政拨款收入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国有资本经营预算财政拨款收入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财政专户管理资金收入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事业收入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事业单位经营收入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上级补助收入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eastAsia="仿宋_GB2312"/>
          <w:sz w:val="30"/>
          <w:szCs w:val="30"/>
          <w:highlight w:val="none"/>
        </w:rPr>
        <w:t/>
        <w:t>附属单位上缴收入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en-US" w:eastAsia="zh-CN"/>
        </w:rPr>
      </w:pPr>
      <w:r>
        <w:rPr>
          <w:rFonts w:ascii="Times New Roman" w:hAnsi="Times New Roman" w:eastAsia="仿宋_GB2312" w:cs="仿宋_GB2312"/>
          <w:sz w:val="30"/>
          <w:szCs w:val="30"/>
          <w:highlight w:val="none"/>
          <w:lang w:val="zh-CN"/>
        </w:rPr>
        <w:t/>
        <w:t>其他收入</w:t>
      </w:r>
      <w:r>
        <w:rPr>
          <w:rFonts w:hint="eastAsia" w:ascii="Times New Roman" w:hAnsi="Times New Roman" w:eastAsia="仿宋_GB2312" w:cs="仿宋_GB2312"/>
          <w:sz w:val="30"/>
          <w:szCs w:val="30"/>
          <w:highlight w:val="none"/>
          <w:lang w:val="zh-CN"/>
        </w:rPr>
        <w:t/>
        <w:t>148,498.99</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1.49</w:t>
      </w:r>
      <w:r>
        <w:rPr>
          <w:rFonts w:hint="eastAsia" w:ascii="Times New Roman" w:hAnsi="Times New Roman" w:eastAsia="仿宋_GB2312" w:cs="仿宋_GB2312"/>
          <w:sz w:val="30"/>
          <w:szCs w:val="30"/>
          <w:highlight w:val="none"/>
          <w:lang w:val="zh-CN"/>
        </w:rPr>
        <w:t/>
        <w:t>%</w:t>
      </w:r>
      <w:r>
        <w:rPr>
          <w:rFonts w:hint="eastAsia" w:ascii="Times New Roman" w:hAnsi="Times New Roman" w:eastAsia="仿宋_GB2312" w:cs="仿宋_GB2312"/>
          <w:sz w:val="30"/>
          <w:szCs w:val="30"/>
          <w:highlight w:val="none"/>
          <w:lang w:val="zh-CN" w:eastAsia="zh-CN"/>
        </w:rPr>
        <w:t/>
        <w:t>。</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三、支出</w:t>
      </w:r>
      <w:r>
        <w:rPr>
          <w:rFonts w:hint="eastAsia" w:ascii="Times New Roman" w:hAnsi="Times New Roman" w:eastAsia="黑体" w:cs="黑体"/>
          <w:b/>
          <w:bCs/>
          <w:kern w:val="0"/>
          <w:sz w:val="30"/>
          <w:szCs w:val="30"/>
          <w:highlight w:val="none"/>
        </w:rPr>
        <w:t/>
        <w:t>决算情况说明</w:t>
      </w:r>
    </w:p>
    <w:p>
      <w:pPr>
        <w:autoSpaceDE w:val="0"/>
        <w:autoSpaceDN w:val="0"/>
        <w:adjustRightInd w:val="0"/>
        <w:spacing w:line="58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
        <w:t>天津市规划和自然资源局河东分局</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年度本年支出合计</w:t>
      </w:r>
      <w:r>
        <w:rPr>
          <w:rFonts w:hint="eastAsia" w:ascii="Times New Roman" w:hAnsi="Times New Roman" w:eastAsia="仿宋_GB2312" w:cs="仿宋_GB2312"/>
          <w:sz w:val="30"/>
          <w:szCs w:val="30"/>
          <w:highlight w:val="none"/>
          <w:lang w:eastAsia="zh-CN"/>
        </w:rPr>
        <w:t/>
        <w:t>9,892,060.26</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w:t>
      </w:r>
      <w:r>
        <w:rPr>
          <w:rFonts w:hint="eastAsia" w:ascii="Times New Roman" w:hAnsi="Times New Roman" w:eastAsia="仿宋_GB2312" w:cs="仿宋_GB2312"/>
          <w:sz w:val="30"/>
          <w:szCs w:val="30"/>
          <w:highlight w:val="none"/>
          <w:lang w:val="en-US" w:eastAsia="zh-CN"/>
        </w:rPr>
        <w:t/>
        <w:t>增加</w:t>
      </w:r>
      <w:r>
        <w:rPr>
          <w:rFonts w:hint="eastAsia" w:ascii="Times New Roman" w:hAnsi="Times New Roman" w:eastAsia="仿宋_GB2312" w:cs="仿宋_GB2312"/>
          <w:sz w:val="30"/>
          <w:szCs w:val="30"/>
          <w:highlight w:val="none"/>
          <w:lang w:eastAsia="zh-CN"/>
        </w:rPr>
        <w:t/>
        <w:t>479,022.26</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sz w:val="30"/>
          <w:szCs w:val="30"/>
          <w:highlight w:val="none"/>
          <w:lang w:val="zh-CN"/>
        </w:rPr>
        <w:t/>
        <w:t>主要原因是</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kern w:val="0"/>
          <w:sz w:val="30"/>
          <w:szCs w:val="30"/>
          <w:highlight w:val="none"/>
          <w:lang w:eastAsia="zh-CN"/>
        </w:rPr>
        <w:t/>
        <w:t>本年新增项目支出。</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val="en-US" w:eastAsia="zh-CN"/>
        </w:rPr>
      </w:pPr>
      <w:r>
        <w:rPr>
          <w:rFonts w:hint="eastAsia" w:ascii="Times New Roman" w:hAnsi="Times New Roman" w:eastAsia="仿宋_GB2312" w:cs="仿宋_GB2312"/>
          <w:sz w:val="30"/>
          <w:szCs w:val="30"/>
          <w:highlight w:val="none"/>
        </w:rPr>
        <w:t/>
        <w:t>其中：</w:t>
      </w:r>
      <w:r>
        <w:rPr>
          <w:rFonts w:ascii="Times New Roman" w:hAnsi="Times New Roman" w:eastAsia="仿宋_GB2312" w:cs="仿宋_GB2312"/>
          <w:sz w:val="30"/>
          <w:szCs w:val="30"/>
          <w:highlight w:val="none"/>
        </w:rPr>
        <w:t/>
        <w:t>基本支出</w:t>
      </w:r>
      <w:r>
        <w:rPr>
          <w:rFonts w:hint="eastAsia" w:ascii="Times New Roman" w:hAnsi="Times New Roman" w:eastAsia="仿宋_GB2312" w:cs="仿宋_GB2312"/>
          <w:sz w:val="30"/>
          <w:szCs w:val="30"/>
          <w:highlight w:val="none"/>
          <w:lang w:eastAsia="zh-CN"/>
        </w:rPr>
        <w:t/>
        <w:t>9,547,033.79</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w:t>
      </w:r>
      <w:r>
        <w:rPr>
          <w:rFonts w:hint="eastAsia" w:ascii="Times New Roman" w:hAnsi="Times New Roman" w:eastAsia="仿宋_GB2312" w:cs="仿宋_GB2312"/>
          <w:sz w:val="30"/>
          <w:szCs w:val="30"/>
          <w:highlight w:val="none"/>
          <w:lang w:val="en-US" w:eastAsia="zh-CN"/>
        </w:rPr>
        <w:t/>
        <w:t>96.51</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
        <w:t>项目支出</w:t>
      </w:r>
      <w:r>
        <w:rPr>
          <w:rFonts w:hint="eastAsia" w:ascii="Times New Roman" w:hAnsi="Times New Roman" w:eastAsia="仿宋_GB2312" w:cs="仿宋_GB2312"/>
          <w:sz w:val="30"/>
          <w:szCs w:val="30"/>
          <w:highlight w:val="none"/>
          <w:lang w:eastAsia="zh-CN"/>
        </w:rPr>
        <w:t/>
        <w:t>345,026.47</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占3.49</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
        <w:t>上缴上级支出</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占0.0</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
        <w:t>经营支出</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占0.0</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r>
        <w:rPr>
          <w:rFonts w:ascii="Times New Roman" w:hAnsi="Times New Roman" w:eastAsia="仿宋_GB2312" w:cs="仿宋_GB2312"/>
          <w:sz w:val="30"/>
          <w:szCs w:val="30"/>
          <w:highlight w:val="none"/>
        </w:rPr>
        <w:t/>
        <w:t>对附属单位补助支出</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占0.0</w:t>
      </w:r>
      <w:r>
        <w:rPr>
          <w:rFonts w:hint="eastAsia" w:ascii="Times New Roman" w:hAnsi="Times New Roman" w:eastAsia="仿宋_GB2312" w:cs="仿宋_GB2312"/>
          <w:sz w:val="30"/>
          <w:szCs w:val="30"/>
          <w:highlight w:val="none"/>
          <w:lang w:eastAsia="zh-CN"/>
        </w:rPr>
        <w:t/>
        <w:t>%。</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
        <w:t>四、财政拨款收支决算总体情况说明</w:t>
      </w:r>
    </w:p>
    <w:p>
      <w:pPr>
        <w:autoSpaceDE w:val="0"/>
        <w:autoSpaceDN w:val="0"/>
        <w:adjustRightInd w:val="0"/>
        <w:spacing w:line="580" w:lineRule="exact"/>
        <w:ind w:firstLine="600"/>
        <w:jc w:val="left"/>
        <w:rPr>
          <w:rFonts w:ascii="Times New Roman" w:hAnsi="Times New Roman" w:eastAsia="仿宋_GB2312" w:cs="仿宋_GB2312"/>
          <w:sz w:val="30"/>
          <w:szCs w:val="30"/>
          <w:highlight w:val="none"/>
        </w:rPr>
      </w:pPr>
      <w:r>
        <w:rPr>
          <w:rFonts w:hint="eastAsia" w:ascii="Times New Roman" w:hAnsi="Times New Roman" w:eastAsia="仿宋_GB2312" w:cs="仿宋_GB2312"/>
          <w:sz w:val="30"/>
          <w:szCs w:val="30"/>
          <w:highlight w:val="none"/>
          <w:lang w:eastAsia="zh-CN"/>
        </w:rPr>
        <w:t/>
        <w:t>天津市规划和自然资源局河东分局</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年度财政拨款收入、支出决算总计</w:t>
      </w:r>
      <w:r>
        <w:rPr>
          <w:rFonts w:hint="eastAsia" w:ascii="Times New Roman" w:hAnsi="Times New Roman" w:eastAsia="仿宋_GB2312" w:cs="Times New Roman"/>
          <w:sz w:val="30"/>
          <w:szCs w:val="30"/>
          <w:highlight w:val="none"/>
          <w:lang w:val="zh-CN"/>
        </w:rPr>
        <w:t/>
        <w:t>9,804,665.20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年度相比，财政拨款收、支总计各</w:t>
      </w:r>
      <w:r>
        <w:rPr>
          <w:rFonts w:hint="eastAsia" w:ascii="Times New Roman" w:hAnsi="Times New Roman" w:eastAsia="仿宋_GB2312" w:cs="仿宋_GB2312"/>
          <w:sz w:val="30"/>
          <w:szCs w:val="30"/>
          <w:highlight w:val="none"/>
          <w:lang w:val="en-US" w:eastAsia="zh-CN"/>
        </w:rPr>
        <w:t/>
        <w:t>增加</w:t>
      </w:r>
      <w:r>
        <w:rPr>
          <w:rFonts w:hint="eastAsia" w:ascii="Times New Roman" w:hAnsi="Times New Roman" w:eastAsia="仿宋_GB2312" w:cs="仿宋_GB2312"/>
          <w:sz w:val="30"/>
          <w:szCs w:val="30"/>
          <w:highlight w:val="none"/>
          <w:lang w:eastAsia="zh-CN"/>
        </w:rPr>
        <w:t/>
        <w:t>532,715.65</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sz w:val="30"/>
          <w:szCs w:val="30"/>
          <w:highlight w:val="none"/>
          <w:lang w:val="en-US" w:eastAsia="zh-CN"/>
        </w:rPr>
        <w:t/>
        <w:t>增长</w:t>
      </w:r>
      <w:r>
        <w:rPr>
          <w:rFonts w:hint="eastAsia" w:ascii="Times New Roman" w:hAnsi="Times New Roman" w:eastAsia="仿宋_GB2312" w:cs="仿宋_GB2312"/>
          <w:sz w:val="30"/>
          <w:szCs w:val="30"/>
          <w:highlight w:val="none"/>
          <w:lang w:eastAsia="zh-CN"/>
        </w:rPr>
        <w:t/>
        <w:t>5.75</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val="zh-CN"/>
        </w:rPr>
        <w:t/>
        <w:t>主要原因是：</w:t>
      </w:r>
      <w:r>
        <w:rPr>
          <w:rFonts w:hint="eastAsia" w:ascii="Times New Roman" w:hAnsi="Times New Roman" w:eastAsia="仿宋_GB2312" w:cs="仿宋_GB2312"/>
          <w:sz w:val="30"/>
          <w:szCs w:val="30"/>
          <w:highlight w:val="none"/>
          <w:lang w:eastAsia="zh-CN"/>
        </w:rPr>
        <w:t/>
        <w:t>本年新增项目支出。</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
        <w:t>五、一般公共预算财政拨款支出决算情况说明</w:t>
      </w:r>
    </w:p>
    <w:p>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（一）总体情况</w:t>
      </w:r>
    </w:p>
    <w:p>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天津市规划和自然资源局河东分局</w:t>
      </w:r>
      <w:r>
        <w:rPr>
          <w:rFonts w:hint="eastAsia" w:ascii="Times New Roman" w:hAnsi="Times New Roman" w:eastAsia="仿宋_GB2312" w:cs="仿宋_GB2312"/>
          <w:sz w:val="30"/>
          <w:szCs w:val="30"/>
          <w:highlight w:val="none"/>
          <w:lang w:eastAsia="zh-CN"/>
        </w:rPr>
        <w:t/>
        <w:t>2023年度部门决算一般公共预算财政拨款支出</w:t>
      </w:r>
      <w:r>
        <w:rPr>
          <w:rFonts w:hint="eastAsia" w:ascii="Times New Roman" w:hAnsi="Times New Roman" w:eastAsia="仿宋_GB2312" w:cs="仿宋_GB2312"/>
          <w:sz w:val="30"/>
          <w:szCs w:val="30"/>
          <w:highlight w:val="none"/>
          <w:lang w:val="zh-CN" w:eastAsia="zh-CN"/>
        </w:rPr>
        <w:t/>
        <w:t>合</w:t>
      </w:r>
      <w:r>
        <w:rPr>
          <w:rFonts w:hint="eastAsia" w:ascii="Times New Roman" w:hAnsi="Times New Roman" w:eastAsia="仿宋_GB2312" w:cs="仿宋_GB2312"/>
          <w:sz w:val="30"/>
          <w:szCs w:val="30"/>
          <w:highlight w:val="none"/>
          <w:lang w:eastAsia="zh-CN"/>
        </w:rPr>
        <w:t/>
        <w:t>计9,804,665.20</w:t>
      </w:r>
      <w:r>
        <w:rPr>
          <w:rFonts w:hint="eastAsia" w:ascii="Times New Roman" w:hAnsi="Times New Roman" w:eastAsia="仿宋_GB2312" w:cs="仿宋_GB2312"/>
          <w:sz w:val="30"/>
          <w:szCs w:val="30"/>
          <w:highlight w:val="none"/>
          <w:lang w:eastAsia="zh-CN"/>
        </w:rPr>
        <w:t/>
        <w:t>元，占本年支出合计的99.12</w:t>
      </w:r>
      <w:r>
        <w:rPr>
          <w:rFonts w:hint="eastAsia" w:ascii="Times New Roman" w:hAnsi="Times New Roman" w:eastAsia="仿宋_GB2312" w:cs="仿宋_GB2312"/>
          <w:sz w:val="30"/>
          <w:szCs w:val="30"/>
          <w:highlight w:val="none"/>
          <w:lang w:eastAsia="zh-CN"/>
        </w:rPr>
        <w:t/>
        <w:t>%，与2022年度相比，一般公共预算财政拨款支出</w:t>
      </w:r>
      <w:r>
        <w:rPr>
          <w:rFonts w:hint="eastAsia" w:ascii="Times New Roman" w:hAnsi="Times New Roman" w:eastAsia="仿宋_GB2312" w:cs="仿宋_GB2312"/>
          <w:sz w:val="30"/>
          <w:szCs w:val="30"/>
          <w:highlight w:val="none"/>
          <w:lang w:val="en-US" w:eastAsia="zh-CN"/>
        </w:rPr>
        <w:t/>
        <w:t>增加</w:t>
      </w:r>
      <w:r>
        <w:rPr>
          <w:rFonts w:hint="eastAsia" w:ascii="Times New Roman" w:hAnsi="Times New Roman" w:eastAsia="仿宋_GB2312" w:cs="仿宋_GB2312"/>
          <w:sz w:val="30"/>
          <w:szCs w:val="30"/>
          <w:highlight w:val="none"/>
          <w:lang w:eastAsia="zh-CN"/>
        </w:rPr>
        <w:t/>
        <w:t>532,715.65</w:t>
      </w:r>
      <w:r>
        <w:rPr>
          <w:rFonts w:hint="eastAsia" w:ascii="Times New Roman" w:hAnsi="Times New Roman" w:eastAsia="仿宋_GB2312" w:cs="仿宋_GB2312"/>
          <w:sz w:val="30"/>
          <w:szCs w:val="30"/>
          <w:highlight w:val="none"/>
          <w:lang w:eastAsia="zh-CN"/>
        </w:rPr>
        <w:t/>
        <w:t>元，</w:t>
      </w:r>
      <w:r>
        <w:rPr>
          <w:rFonts w:hint="eastAsia" w:ascii="Times New Roman" w:hAnsi="Times New Roman" w:eastAsia="仿宋_GB2312" w:cs="仿宋_GB2312"/>
          <w:sz w:val="30"/>
          <w:szCs w:val="30"/>
          <w:highlight w:val="none"/>
          <w:lang w:val="en-US" w:eastAsia="zh-CN"/>
        </w:rPr>
        <w:t/>
        <w:t>增长</w:t>
      </w:r>
      <w:r>
        <w:rPr>
          <w:rFonts w:hint="eastAsia" w:ascii="Times New Roman" w:hAnsi="Times New Roman" w:eastAsia="仿宋_GB2312" w:cs="仿宋_GB2312"/>
          <w:sz w:val="30"/>
          <w:szCs w:val="30"/>
          <w:highlight w:val="none"/>
          <w:lang w:eastAsia="zh-CN"/>
        </w:rPr>
        <w:t/>
        <w:t>5.75</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lang w:val="zh-CN" w:eastAsia="zh-CN"/>
        </w:rPr>
        <w:t/>
        <w:t>主要原因是</w:t>
      </w:r>
      <w:r>
        <w:rPr>
          <w:rFonts w:hint="eastAsia" w:ascii="Times New Roman" w:hAnsi="Times New Roman" w:eastAsia="仿宋_GB2312" w:cs="仿宋_GB2312"/>
          <w:sz w:val="30"/>
          <w:szCs w:val="30"/>
          <w:highlight w:val="none"/>
          <w:lang w:eastAsia="zh-CN"/>
        </w:rPr>
        <w:t/>
        <w:t>：本年新增项目支出。</w:t>
      </w:r>
    </w:p>
    <w:p>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（二）</w:t>
      </w:r>
      <w:r>
        <w:rPr>
          <w:rFonts w:hint="eastAsia" w:ascii="Times New Roman" w:hAnsi="Times New Roman" w:eastAsia="楷体" w:cs="楷体"/>
          <w:b/>
          <w:bCs/>
          <w:kern w:val="0"/>
          <w:sz w:val="30"/>
          <w:szCs w:val="30"/>
          <w:highlight w:val="none"/>
          <w:lang w:val="zh-CN"/>
        </w:rPr>
        <w:t/>
        <w:t>支出结构</w:t>
      </w:r>
      <w:r>
        <w:rPr>
          <w:rFonts w:hint="eastAsia" w:ascii="Times New Roman" w:hAnsi="Times New Roman" w:eastAsia="楷体" w:cs="楷体"/>
          <w:b/>
          <w:bCs/>
          <w:kern w:val="0"/>
          <w:sz w:val="30"/>
          <w:szCs w:val="30"/>
          <w:highlight w:val="none"/>
        </w:rPr>
        <w:t/>
        <w:t>情况</w:t>
      </w:r>
    </w:p>
    <w:p>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2023</w:t>
      </w:r>
      <w:r>
        <w:rPr>
          <w:rFonts w:hint="eastAsia" w:ascii="Times New Roman" w:hAnsi="Times New Roman" w:eastAsia="仿宋_GB2312" w:cs="仿宋_GB2312"/>
          <w:sz w:val="30"/>
          <w:szCs w:val="30"/>
          <w:highlight w:val="none"/>
        </w:rPr>
        <w:t/>
        <w:t>年度一般公共预算财政拨款支出</w:t>
      </w:r>
      <w:r>
        <w:rPr>
          <w:rFonts w:hint="eastAsia" w:ascii="Times New Roman" w:hAnsi="Times New Roman" w:eastAsia="仿宋_GB2312" w:cs="Times New Roman"/>
          <w:sz w:val="30"/>
          <w:szCs w:val="30"/>
          <w:highlight w:val="none"/>
          <w:lang w:eastAsia="zh-CN"/>
        </w:rPr>
        <w:t/>
        <w:t>9,804,665.20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kern w:val="0"/>
          <w:sz w:val="30"/>
          <w:szCs w:val="30"/>
          <w:highlight w:val="none"/>
        </w:rPr>
        <w:t/>
        <w:t>主要用于以下方面：</w:t>
      </w:r>
      <w:r>
        <w:rPr>
          <w:rFonts w:hint="eastAsia" w:ascii="Times New Roman" w:hAnsi="Times New Roman" w:eastAsia="仿宋_GB2312" w:cs="仿宋_GB2312"/>
          <w:sz w:val="30"/>
          <w:szCs w:val="30"/>
          <w:highlight w:val="none"/>
          <w:lang w:eastAsia="zh-CN"/>
        </w:rPr>
        <w:t/>
        <w:t>社会保障和就业支出930000.00元，占9.49%；卫生健康支出485000.00元，占4.95%；自然资源海洋气象等支出8389665.20元，占85.57%。</w:t>
      </w:r>
    </w:p>
    <w:p>
      <w:pPr>
        <w:autoSpaceDE w:val="0"/>
        <w:autoSpaceDN w:val="0"/>
        <w:adjustRightInd w:val="0"/>
        <w:spacing w:line="600" w:lineRule="exact"/>
        <w:ind w:left="480"/>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（三）具体情况</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eastAsia="zh-CN"/>
        </w:rPr>
        <w:t/>
        <w:t>2023</w:t>
      </w:r>
      <w:r>
        <w:rPr>
          <w:rFonts w:hint="eastAsia" w:ascii="Times New Roman" w:hAnsi="Times New Roman" w:eastAsia="仿宋_GB2312" w:cs="仿宋_GB2312"/>
          <w:kern w:val="0"/>
          <w:sz w:val="30"/>
          <w:szCs w:val="30"/>
          <w:highlight w:val="none"/>
        </w:rPr>
        <w:t/>
        <w:t>年度一般公共预算财政拨款支出年初预算为</w:t>
      </w:r>
      <w:r>
        <w:rPr>
          <w:rFonts w:hint="eastAsia" w:ascii="Times New Roman" w:hAnsi="Times New Roman" w:eastAsia="仿宋_GB2312" w:cs="Times New Roman"/>
          <w:sz w:val="30"/>
          <w:szCs w:val="30"/>
          <w:highlight w:val="none"/>
          <w:lang w:eastAsia="zh-CN"/>
        </w:rPr>
        <w:t/>
        <w:t>9,480,000.00</w:t>
      </w:r>
      <w:r>
        <w:rPr>
          <w:rFonts w:hint="eastAsia" w:ascii="Times New Roman" w:hAnsi="Times New Roman" w:eastAsia="仿宋_GB2312" w:cs="仿宋_GB2312"/>
          <w:kern w:val="0"/>
          <w:sz w:val="30"/>
          <w:szCs w:val="30"/>
          <w:highlight w:val="none"/>
        </w:rPr>
        <w:t/>
        <w:t>元，支出决算为</w:t>
      </w:r>
      <w:r>
        <w:rPr>
          <w:rFonts w:hint="eastAsia" w:ascii="Times New Roman" w:hAnsi="Times New Roman" w:eastAsia="仿宋_GB2312" w:cs="Times New Roman"/>
          <w:sz w:val="30"/>
          <w:szCs w:val="30"/>
          <w:highlight w:val="none"/>
          <w:lang w:eastAsia="zh-CN"/>
        </w:rPr>
        <w:t/>
        <w:t>9,804,665.20</w:t>
      </w:r>
      <w:r>
        <w:rPr>
          <w:rFonts w:hint="eastAsia" w:ascii="Times New Roman" w:hAnsi="Times New Roman" w:eastAsia="仿宋_GB2312" w:cs="仿宋_GB2312"/>
          <w:kern w:val="0"/>
          <w:sz w:val="30"/>
          <w:szCs w:val="30"/>
          <w:highlight w:val="none"/>
        </w:rPr>
        <w:t/>
        <w:t>元，完成年初预算的</w:t>
      </w:r>
      <w:r>
        <w:rPr>
          <w:rFonts w:hint="eastAsia" w:ascii="Times New Roman" w:hAnsi="Times New Roman" w:eastAsia="仿宋_GB2312" w:cs="Times New Roman"/>
          <w:sz w:val="30"/>
          <w:szCs w:val="30"/>
          <w:highlight w:val="none"/>
          <w:lang w:eastAsia="zh-CN"/>
        </w:rPr>
        <w:t/>
        <w:t>103.42</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。其中：</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sz w:val="30"/>
          <w:szCs w:val="30"/>
          <w:highlight w:val="none"/>
          <w:lang w:eastAsia="zh-CN"/>
        </w:rPr>
        <w:t/>
        <w:t>1.社会保障和就业支出（类）行政事业单位养老支出（款）行政事业单位基本养老保险缴费支出（项）年初预算为626,000.00元，支出决算为62,000.00元，完成年初预算的99.04%，决算数小于年初预算数的主要原因是本年预算数可以覆盖全年支出。</w:t>
        <w:br/>
        <w:t>2.社会保障和就业支出（类）行政事业单位养老支出（款）行政事业单位职业年金缴费支出（项）年初预算为313,000.00元，支出决算为310,000.00元，完成年初预算的99.04%，决算数小于年初预算数的主要原因是本年预算数可以覆盖全年支出。</w:t>
        <w:br/>
        <w:t>3.卫生健康支出（类）行政事业单位医疗（款）行政单位医疗支出（项）年初预算为411,000.00元，支出决算为407,000.00元，完成年初预算的99.03%，决算数小于年初预算数的主要原因是本年预算数可以覆盖全年支出。</w:t>
        <w:br/>
        <w:t>4.卫生健康支出（类）行政事业单位医疗（款）公务员医疗补助（项）年初预算为78,000.00元，支出决算为78,000.00元，完成年初预算的100.00%，决算数与年初预算数持平。</w:t>
        <w:br/>
        <w:t>5.自然资源海洋气象等支出（类）自然资源事务（款）行政运行（项）年初预算为7,837,000.00元，支出决算为8,044,638.73元，完成年初预算的102.65%，决算数大于年初预算数的主要原因是增加人员追加经费。</w:t>
        <w:br/>
        <w:t>6.自然资源海洋气象等支出（类）自然资源事务（款）自然资源规划及管理（项）年初预算为215,000.00元，支出决算为195,460.47元，完成年初预算的90.91%，决算数小于年初预算数的主要原因是土地出让评估服务项目实际支出小于年初预算数。</w:t>
        <w:br/>
        <w:t>7.自然资源海洋气象等支出（类）自然资源事务（款）  其他自然资源事务支出（项）年初预算为0.00元，支出决算为149,566.66元，年初无预算，决算数大于年初预算数的主要原因是本年度实际执行过程中追加了去世退休干部抚恤金。</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六、一般公共预算财政拨款基本支出决算情况说明</w:t>
      </w:r>
    </w:p>
    <w:p>
      <w:pPr>
        <w:autoSpaceDE w:val="0"/>
        <w:autoSpaceDN w:val="0"/>
        <w:adjustRightInd w:val="0"/>
        <w:spacing w:line="600" w:lineRule="exact"/>
        <w:ind w:firstLine="72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天津市规划和自然资源局河东分局</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年度部门决算一般公共预算财政拨款基本支出合计</w:t>
      </w:r>
      <w:r>
        <w:rPr>
          <w:rFonts w:hint="eastAsia" w:ascii="Times New Roman" w:hAnsi="Times New Roman" w:eastAsia="仿宋_GB2312" w:cs="Times New Roman"/>
          <w:sz w:val="30"/>
          <w:szCs w:val="30"/>
          <w:highlight w:val="none"/>
          <w:lang w:eastAsia="zh-CN"/>
        </w:rPr>
        <w:t/>
        <w:t>9,459,638.73</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w:t>
      </w:r>
      <w:r>
        <w:rPr>
          <w:rFonts w:hint="eastAsia" w:ascii="Times New Roman" w:hAnsi="Times New Roman" w:eastAsia="仿宋_GB2312" w:cs="仿宋_GB2312"/>
          <w:sz w:val="30"/>
          <w:szCs w:val="30"/>
          <w:highlight w:val="none"/>
          <w:lang w:val="en-US" w:eastAsia="zh-CN"/>
        </w:rPr>
        <w:t/>
        <w:t>增加</w:t>
      </w:r>
      <w:r>
        <w:rPr>
          <w:rFonts w:hint="eastAsia" w:ascii="Times New Roman" w:hAnsi="Times New Roman" w:eastAsia="仿宋_GB2312" w:cs="仿宋_GB2312"/>
          <w:sz w:val="30"/>
          <w:szCs w:val="30"/>
          <w:highlight w:val="none"/>
          <w:lang w:eastAsia="zh-CN"/>
        </w:rPr>
        <w:t/>
        <w:t>199,907.67</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楷体_GB2312" w:cs="楷体_GB2312"/>
          <w:sz w:val="30"/>
          <w:szCs w:val="30"/>
          <w:highlight w:val="none"/>
        </w:rPr>
        <w:t/>
        <w:t>：</w:t>
      </w:r>
      <w:r>
        <w:rPr>
          <w:rFonts w:hint="eastAsia" w:ascii="Times New Roman" w:hAnsi="Times New Roman" w:eastAsia="仿宋_GB2312" w:cs="仿宋_GB2312"/>
          <w:sz w:val="30"/>
          <w:szCs w:val="30"/>
          <w:highlight w:val="none"/>
          <w:lang w:eastAsia="zh-CN"/>
        </w:rPr>
        <w:t/>
        <w:t>增加人员追加经费。</w:t>
      </w:r>
      <w:r>
        <w:rPr>
          <w:rFonts w:hint="eastAsia" w:ascii="Times New Roman" w:hAnsi="Times New Roman" w:eastAsia="仿宋_GB2312" w:cs="仿宋_GB2312"/>
          <w:kern w:val="0"/>
          <w:sz w:val="30"/>
          <w:szCs w:val="30"/>
          <w:highlight w:val="none"/>
        </w:rPr>
        <w:t/>
        <w:t>其中：</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
        <w:t>人员经费</w:t>
      </w:r>
      <w:r>
        <w:rPr>
          <w:rFonts w:hint="eastAsia" w:ascii="Times New Roman" w:hAnsi="Times New Roman" w:eastAsia="仿宋_GB2312" w:cs="Times New Roman"/>
          <w:sz w:val="30"/>
          <w:szCs w:val="30"/>
          <w:highlight w:val="none"/>
          <w:lang w:eastAsia="zh-CN"/>
        </w:rPr>
        <w:t/>
        <w:t>8,130,638.73</w:t>
      </w:r>
      <w:r>
        <w:rPr>
          <w:rFonts w:hint="eastAsia" w:ascii="Times New Roman" w:hAnsi="Times New Roman" w:eastAsia="仿宋_GB2312" w:cs="仿宋_GB2312"/>
          <w:kern w:val="0"/>
          <w:sz w:val="30"/>
          <w:szCs w:val="30"/>
          <w:highlight w:val="none"/>
        </w:rPr>
        <w:t/>
        <w:t>元，主要包括</w:t>
      </w:r>
      <w:r>
        <w:rPr>
          <w:rFonts w:hint="eastAsia" w:ascii="Times New Roman" w:hAnsi="Times New Roman" w:eastAsia="仿宋_GB2312" w:cs="仿宋_GB2312"/>
          <w:sz w:val="30"/>
          <w:szCs w:val="30"/>
          <w:highlight w:val="none"/>
          <w:lang w:eastAsia="zh-CN"/>
        </w:rPr>
        <w:t/>
        <w:t>基本工资、津贴补贴、奖金、机关事业单位基本养老保险缴费、职业年金缴费、职工基本医疗保险缴费、公务员医疗补助缴费、其他社会保障缴费、住房公积金、其他工资福利支出、退休费、奖励金。</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
        <w:t>公用经费</w:t>
      </w:r>
      <w:r>
        <w:rPr>
          <w:rFonts w:hint="eastAsia" w:ascii="Times New Roman" w:hAnsi="Times New Roman" w:eastAsia="仿宋_GB2312" w:cs="Times New Roman"/>
          <w:sz w:val="30"/>
          <w:szCs w:val="30"/>
          <w:highlight w:val="none"/>
          <w:lang w:eastAsia="zh-CN"/>
        </w:rPr>
        <w:t/>
        <w:t>1,329,000.00</w:t>
      </w:r>
      <w:r>
        <w:rPr>
          <w:rFonts w:hint="eastAsia" w:ascii="Times New Roman" w:hAnsi="Times New Roman" w:eastAsia="仿宋_GB2312" w:cs="仿宋_GB2312"/>
          <w:kern w:val="0"/>
          <w:sz w:val="30"/>
          <w:szCs w:val="30"/>
          <w:highlight w:val="none"/>
        </w:rPr>
        <w:t/>
        <w:t>元，主要包括</w:t>
      </w:r>
      <w:r>
        <w:rPr>
          <w:rFonts w:hint="eastAsia" w:ascii="Times New Roman" w:hAnsi="Times New Roman" w:eastAsia="仿宋_GB2312" w:cs="仿宋_GB2312"/>
          <w:sz w:val="30"/>
          <w:szCs w:val="30"/>
          <w:highlight w:val="none"/>
          <w:lang w:eastAsia="zh-CN"/>
        </w:rPr>
        <w:t/>
        <w:t>办公费、印刷费、手续费、水费、电费、邮电费、取暖费、物业管理费、差旅费、维修(护)费、劳务费、委托业务费、工会经费、福利费、其他交通费用、其他商品和服务支出、办公设备购置。</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七、政府性基金预算财政拨款收支决算情况</w:t>
      </w:r>
    </w:p>
    <w:p>
      <w:pPr>
        <w:autoSpaceDE w:val="0"/>
        <w:autoSpaceDN w:val="0"/>
        <w:adjustRightInd w:val="0"/>
        <w:spacing w:line="58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天津市规划和自然资源局河东分局</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年度部门决算政府性基金预算财政拨款</w:t>
      </w:r>
      <w:r>
        <w:rPr>
          <w:rFonts w:hint="eastAsia" w:ascii="Times New Roman" w:hAnsi="Times New Roman" w:eastAsia="仿宋_GB2312" w:cs="仿宋_GB2312"/>
          <w:kern w:val="0"/>
          <w:sz w:val="30"/>
          <w:szCs w:val="30"/>
          <w:highlight w:val="none"/>
        </w:rPr>
        <w:t/>
        <w:t>年初结转和结余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元，收入</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rPr>
        <w:t/>
        <w:t>支出</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sz w:val="30"/>
          <w:szCs w:val="30"/>
          <w:highlight w:val="none"/>
        </w:rPr>
        <w:t/>
        <w:t>元，年末结转和结余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年度相比，政府性基金财政拨款支出</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sz w:val="30"/>
          <w:szCs w:val="30"/>
          <w:highlight w:val="none"/>
          <w:lang w:eastAsia="zh-CN"/>
        </w:rPr>
        <w:t/>
        <w:t>0.0</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楷体_GB2312" w:cs="楷体_GB2312"/>
          <w:sz w:val="30"/>
          <w:szCs w:val="30"/>
          <w:highlight w:val="none"/>
          <w:lang w:val="zh-CN"/>
        </w:rPr>
        <w:t/>
        <w:t>：</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hint="default" w:ascii="Times New Roman" w:hAnsi="Times New Roman" w:eastAsia="楷体" w:cs="楷体"/>
          <w:kern w:val="0"/>
          <w:sz w:val="30"/>
          <w:szCs w:val="30"/>
          <w:highlight w:val="none"/>
          <w:lang w:val="en-US"/>
        </w:rPr>
      </w:pPr>
      <w:r>
        <w:rPr>
          <w:rFonts w:hint="eastAsia" w:ascii="Times New Roman" w:hAnsi="Times New Roman" w:eastAsia="仿宋_GB2312" w:cs="仿宋_GB2312"/>
          <w:sz w:val="30"/>
          <w:szCs w:val="30"/>
          <w:highlight w:val="none"/>
          <w:lang w:eastAsia="zh-CN"/>
        </w:rPr>
        <w:t/>
        <w:t>天津市规划和自然资源局河东分局2023年度无政府性基金预算财政拨款收入、支出和结转结余。</w:t>
      </w:r>
      <w:r>
        <w:rPr>
          <w:rFonts w:hint="eastAsia" w:ascii="Times New Roman" w:hAnsi="Times New Roman" w:eastAsia="仿宋_GB2312" w:cs="仿宋_GB2312"/>
          <w:sz w:val="30"/>
          <w:szCs w:val="30"/>
          <w:highlight w:val="none"/>
          <w:lang w:val="en-US" w:eastAsia="zh-CN"/>
        </w:rPr>
        <w:tab/>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八、国有资本经营预算财政拨款收支决算情况说明</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color w:val="000000"/>
          <w:kern w:val="0"/>
          <w:sz w:val="30"/>
          <w:szCs w:val="30"/>
          <w:highlight w:val="none"/>
          <w:lang w:eastAsia="zh-CN"/>
        </w:rPr>
        <w:t/>
        <w:t>天津市规划和自然资源局河东分局</w:t>
      </w:r>
      <w:r>
        <w:rPr>
          <w:rFonts w:hint="eastAsia" w:ascii="Times New Roman" w:hAnsi="Times New Roman" w:eastAsia="宋体" w:cs="宋体"/>
          <w:color w:val="000000"/>
          <w:kern w:val="0"/>
          <w:sz w:val="30"/>
          <w:szCs w:val="30"/>
          <w:highlight w:val="none"/>
          <w:lang w:eastAsia="zh-CN"/>
        </w:rPr>
        <w:t/>
        <w:t>2023</w:t>
      </w:r>
      <w:r>
        <w:rPr>
          <w:rFonts w:hint="eastAsia" w:ascii="Times New Roman" w:hAnsi="Times New Roman" w:eastAsia="仿宋_GB2312" w:cs="仿宋_GB2312"/>
          <w:kern w:val="0"/>
          <w:sz w:val="30"/>
          <w:szCs w:val="30"/>
          <w:highlight w:val="none"/>
        </w:rPr>
        <w:t/>
        <w:t>年度部门决算国有资本经营预算财政拨款年初结转和结余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元，收入</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元，支出</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元，年末结余和结余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元。与</w:t>
      </w:r>
      <w:r>
        <w:rPr>
          <w:rFonts w:hint="eastAsia" w:ascii="Times New Roman" w:hAnsi="Times New Roman" w:eastAsia="仿宋_GB2312" w:cs="仿宋_GB2312"/>
          <w:kern w:val="0"/>
          <w:sz w:val="30"/>
          <w:szCs w:val="30"/>
          <w:highlight w:val="none"/>
          <w:lang w:eastAsia="zh-CN"/>
        </w:rPr>
        <w:t/>
        <w:t>2022</w:t>
      </w:r>
      <w:r>
        <w:rPr>
          <w:rFonts w:hint="eastAsia" w:ascii="Times New Roman" w:hAnsi="Times New Roman" w:eastAsia="仿宋_GB2312" w:cs="仿宋_GB2312"/>
          <w:kern w:val="0"/>
          <w:sz w:val="30"/>
          <w:szCs w:val="30"/>
          <w:highlight w:val="none"/>
        </w:rPr>
        <w:t/>
        <w:t>年度相比，国有资本经营预算财政拨款支出</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楷体_GB2312" w:cs="楷体_GB2312"/>
          <w:sz w:val="30"/>
          <w:szCs w:val="30"/>
          <w:highlight w:val="none"/>
          <w:lang w:val="zh-CN"/>
        </w:rPr>
        <w:t/>
        <w:t>：</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天津市规划和自然资源局河东分局2023年度无国有资本经营预算财政拨款收入、支出和结转结余。</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九、财政拨款</w:t>
      </w:r>
      <w:r>
        <w:rPr>
          <w:rFonts w:ascii="Times New Roman" w:hAnsi="Times New Roman" w:eastAsia="黑体" w:cs="黑体"/>
          <w:b/>
          <w:bCs/>
          <w:kern w:val="0"/>
          <w:sz w:val="30"/>
          <w:szCs w:val="30"/>
          <w:highlight w:val="none"/>
        </w:rPr>
        <w:t/>
        <w:t>“</w:t>
      </w:r>
      <w:r>
        <w:rPr>
          <w:rFonts w:hint="eastAsia" w:ascii="Times New Roman" w:hAnsi="Times New Roman" w:eastAsia="黑体" w:cs="黑体"/>
          <w:b/>
          <w:bCs/>
          <w:kern w:val="0"/>
          <w:sz w:val="30"/>
          <w:szCs w:val="30"/>
          <w:highlight w:val="none"/>
        </w:rPr>
        <w:t/>
        <w:t>三公</w:t>
      </w:r>
      <w:r>
        <w:rPr>
          <w:rFonts w:ascii="Times New Roman" w:hAnsi="Times New Roman" w:eastAsia="黑体" w:cs="黑体"/>
          <w:b/>
          <w:bCs/>
          <w:kern w:val="0"/>
          <w:sz w:val="30"/>
          <w:szCs w:val="30"/>
          <w:highlight w:val="none"/>
        </w:rPr>
        <w:t/>
        <w:t>”</w:t>
      </w:r>
      <w:r>
        <w:rPr>
          <w:rFonts w:hint="eastAsia" w:ascii="Times New Roman" w:hAnsi="Times New Roman" w:eastAsia="黑体" w:cs="黑体"/>
          <w:b/>
          <w:bCs/>
          <w:kern w:val="0"/>
          <w:sz w:val="30"/>
          <w:szCs w:val="30"/>
          <w:highlight w:val="none"/>
        </w:rPr>
        <w:t/>
        <w:t>经费</w:t>
      </w:r>
      <w:r>
        <w:rPr>
          <w:rFonts w:hint="eastAsia" w:ascii="Times New Roman" w:hAnsi="Times New Roman" w:eastAsia="黑体" w:cs="黑体"/>
          <w:b/>
          <w:bCs/>
          <w:kern w:val="0"/>
          <w:sz w:val="30"/>
          <w:szCs w:val="30"/>
          <w:highlight w:val="none"/>
          <w:lang w:val="zh-CN"/>
        </w:rPr>
        <w:t/>
        <w:t>支出决算</w:t>
      </w:r>
      <w:r>
        <w:rPr>
          <w:rFonts w:hint="eastAsia" w:ascii="Times New Roman" w:hAnsi="Times New Roman" w:eastAsia="黑体" w:cs="黑体"/>
          <w:b/>
          <w:bCs/>
          <w:kern w:val="0"/>
          <w:sz w:val="30"/>
          <w:szCs w:val="30"/>
          <w:highlight w:val="none"/>
        </w:rPr>
        <w:t/>
        <w:t>情况</w:t>
      </w:r>
    </w:p>
    <w:p>
      <w:pPr>
        <w:autoSpaceDE w:val="0"/>
        <w:autoSpaceDN w:val="0"/>
        <w:adjustRightInd w:val="0"/>
        <w:spacing w:line="600" w:lineRule="exact"/>
        <w:ind w:firstLine="602"/>
        <w:jc w:val="left"/>
        <w:rPr>
          <w:rFonts w:hint="default" w:ascii="Times New Roman" w:hAnsi="Times New Roman" w:eastAsia="楷体" w:cs="楷体"/>
          <w:b/>
          <w:bCs/>
          <w:kern w:val="0"/>
          <w:sz w:val="30"/>
          <w:szCs w:val="30"/>
          <w:highlight w:val="none"/>
          <w:lang w:val="en-US" w:eastAsia="zh-CN"/>
        </w:rPr>
      </w:pPr>
      <w:r>
        <w:rPr>
          <w:rFonts w:hint="eastAsia" w:ascii="Times New Roman" w:hAnsi="Times New Roman" w:eastAsia="楷体" w:cs="楷体"/>
          <w:b/>
          <w:bCs/>
          <w:kern w:val="0"/>
          <w:sz w:val="30"/>
          <w:szCs w:val="30"/>
          <w:highlight w:val="none"/>
        </w:rPr>
        <w:t/>
        <w:t>（一）总体情况</w:t>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年财政拨款</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w:t>
      </w: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t>本年度未用财政拨款经费列支“三公”经费</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t>本年度未用财政拨款经费列支“三公”经费。</w:t>
      </w:r>
    </w:p>
    <w:p>
      <w:pPr>
        <w:autoSpaceDE w:val="0"/>
        <w:autoSpaceDN w:val="0"/>
        <w:adjustRightInd w:val="0"/>
        <w:spacing w:line="600" w:lineRule="exact"/>
        <w:ind w:firstLine="602"/>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（二）具体情况</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1.</w:t>
      </w:r>
      <w:r>
        <w:rPr>
          <w:rFonts w:hint="eastAsia" w:ascii="Times New Roman" w:hAnsi="Times New Roman" w:eastAsia="仿宋_GB2312" w:cs="仿宋_GB2312"/>
          <w:kern w:val="0"/>
          <w:sz w:val="30"/>
          <w:szCs w:val="30"/>
          <w:highlight w:val="none"/>
        </w:rPr>
        <w:t/>
        <w:t>因公出国（境）费预算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t>本年度未用财政拨款经费列支因公出国（境）费</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t>本年度未用财政拨款经费列支因公出国（境）费。</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年本单位组织的出国团组</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个，出国</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人次。</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
        <w:t>2.</w:t>
      </w:r>
      <w:r>
        <w:rPr>
          <w:rFonts w:hint="eastAsia" w:ascii="Times New Roman" w:hAnsi="Times New Roman" w:eastAsia="仿宋_GB2312" w:cs="仿宋_GB2312"/>
          <w:kern w:val="0"/>
          <w:sz w:val="30"/>
          <w:szCs w:val="30"/>
          <w:highlight w:val="none"/>
        </w:rPr>
        <w:t/>
        <w:t>公务用车购置及运行维护费预算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t>本年度未用财政拨款经费列支公务用车购置费及公务用车运行维护费</w:t>
      </w:r>
      <w:r>
        <w:rPr>
          <w:rFonts w:hint="eastAsia" w:ascii="Times New Roman" w:hAnsi="Times New Roman" w:eastAsia="仿宋_GB2312" w:cs="仿宋_GB2312"/>
          <w:kern w:val="0"/>
          <w:sz w:val="30"/>
          <w:szCs w:val="30"/>
          <w:highlight w:val="none"/>
          <w:lang w:eastAsia="zh-CN"/>
        </w:rPr>
        <w:t/>
        <w:t>；</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t>本年度未用财政拨款经费列支公务用车购置费及公务用车运行维护费。</w:t>
      </w:r>
      <w:r>
        <w:rPr>
          <w:rFonts w:hint="eastAsia" w:ascii="Times New Roman" w:hAnsi="Times New Roman" w:eastAsia="仿宋_GB2312" w:cs="仿宋_GB2312"/>
          <w:kern w:val="0"/>
          <w:sz w:val="30"/>
          <w:szCs w:val="30"/>
          <w:highlight w:val="none"/>
        </w:rPr>
        <w:t/>
        <w:t>其中：</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
        <w:t>公务用车运行维护费预算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t>本年度未用财政拨款经费列支公务用车运行维护费</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t>本年度未用财政拨款经费列支公务用车运行维护费。</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截至</w:t>
      </w: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w:t>
      </w:r>
      <w:r>
        <w:rPr>
          <w:rFonts w:ascii="Times New Roman" w:hAnsi="Times New Roman" w:eastAsia="仿宋_GB2312" w:cs="仿宋_GB2312"/>
          <w:kern w:val="0"/>
          <w:sz w:val="30"/>
          <w:szCs w:val="30"/>
          <w:highlight w:val="none"/>
        </w:rPr>
        <w:t/>
        <w:t>12</w:t>
      </w:r>
      <w:r>
        <w:rPr>
          <w:rFonts w:hint="eastAsia" w:ascii="Times New Roman" w:hAnsi="Times New Roman" w:eastAsia="仿宋_GB2312" w:cs="仿宋_GB2312"/>
          <w:kern w:val="0"/>
          <w:sz w:val="30"/>
          <w:szCs w:val="30"/>
          <w:highlight w:val="none"/>
        </w:rPr>
        <w:t/>
        <w:t>月</w:t>
      </w:r>
      <w:r>
        <w:rPr>
          <w:rFonts w:ascii="Times New Roman" w:hAnsi="Times New Roman" w:eastAsia="仿宋_GB2312" w:cs="仿宋_GB2312"/>
          <w:kern w:val="0"/>
          <w:sz w:val="30"/>
          <w:szCs w:val="30"/>
          <w:highlight w:val="none"/>
        </w:rPr>
        <w:t/>
        <w:t>31</w:t>
      </w:r>
      <w:r>
        <w:rPr>
          <w:rFonts w:hint="eastAsia" w:ascii="Times New Roman" w:hAnsi="Times New Roman" w:eastAsia="仿宋_GB2312" w:cs="仿宋_GB2312"/>
          <w:kern w:val="0"/>
          <w:sz w:val="30"/>
          <w:szCs w:val="30"/>
          <w:highlight w:val="none"/>
        </w:rPr>
        <w:t/>
        <w:t>日，使用财政拨款开支运行维护费的公务用车保有量为</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辆。</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
        <w:t>公务用车购置费预算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t>本年度未用财政拨款经费列支公务用车购置费</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t>本年度未用财政拨款经费列支公务用车购置费。</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年购置公务用车</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辆。</w:t>
      </w:r>
    </w:p>
    <w:p>
      <w:pPr>
        <w:autoSpaceDE w:val="0"/>
        <w:autoSpaceDN w:val="0"/>
        <w:adjustRightInd w:val="0"/>
        <w:spacing w:line="600" w:lineRule="exact"/>
        <w:ind w:firstLine="645"/>
        <w:jc w:val="left"/>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3.</w:t>
      </w:r>
      <w:r>
        <w:rPr>
          <w:rFonts w:hint="eastAsia" w:ascii="Times New Roman" w:hAnsi="Times New Roman" w:eastAsia="仿宋_GB2312" w:cs="仿宋_GB2312"/>
          <w:kern w:val="0"/>
          <w:sz w:val="30"/>
          <w:szCs w:val="30"/>
          <w:highlight w:val="none"/>
        </w:rPr>
        <w:t/>
        <w:t>公务接待费预算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t>本年度未用财政拨款经费列公务接待费</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t>本年度未用财政拨款经费列支公务接待费。</w:t>
      </w:r>
    </w:p>
    <w:p>
      <w:pPr>
        <w:autoSpaceDE w:val="0"/>
        <w:autoSpaceDN w:val="0"/>
        <w:adjustRightInd w:val="0"/>
        <w:spacing w:line="600" w:lineRule="exact"/>
        <w:ind w:firstLine="645"/>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年本单位国内公务接待</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批次，</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人次；其中，外事接待</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批次，</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人次。</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十、机关运行经费支出情况说明</w:t>
      </w:r>
    </w:p>
    <w:p>
      <w:pPr>
        <w:autoSpaceDE w:val="0"/>
        <w:autoSpaceDN w:val="0"/>
        <w:adjustRightInd w:val="0"/>
        <w:spacing w:line="58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机关运行经费是指行政单位和参照公务员法管理的事业单位使用一般公共预算财政拨款安排的基本支出中的日常公用经费支出，</w:t>
      </w:r>
      <w:r>
        <w:rPr>
          <w:rFonts w:hint="eastAsia" w:ascii="Times New Roman" w:hAnsi="Times New Roman" w:eastAsia="仿宋_GB2312" w:cs="Times New Roman"/>
          <w:kern w:val="0"/>
          <w:sz w:val="30"/>
          <w:szCs w:val="30"/>
          <w:highlight w:val="none"/>
          <w:lang w:eastAsia="zh-CN"/>
        </w:rPr>
        <w:t/>
        <w:t>天津市规划和自然资源局河东分局</w:t>
      </w:r>
      <w:r>
        <w:rPr>
          <w:rFonts w:hint="eastAsia" w:ascii="Times New Roman" w:hAnsi="Times New Roman" w:eastAsia="宋体" w:cs="宋体"/>
          <w:kern w:val="0"/>
          <w:sz w:val="30"/>
          <w:szCs w:val="30"/>
          <w:highlight w:val="none"/>
          <w:lang w:eastAsia="zh-CN"/>
        </w:rPr>
        <w:t/>
        <w:t>2023</w:t>
      </w:r>
      <w:r>
        <w:rPr>
          <w:rFonts w:hint="eastAsia" w:ascii="Times New Roman" w:hAnsi="Times New Roman" w:eastAsia="仿宋_GB2312" w:cs="仿宋_GB2312"/>
          <w:kern w:val="0"/>
          <w:sz w:val="30"/>
          <w:szCs w:val="30"/>
          <w:highlight w:val="none"/>
        </w:rPr>
        <w:t/>
        <w:t>年度机关运行经费决算数</w:t>
      </w:r>
      <w:r>
        <w:rPr>
          <w:rFonts w:hint="eastAsia" w:ascii="Times New Roman" w:hAnsi="Times New Roman" w:eastAsia="仿宋_GB2312" w:cs="Times New Roman"/>
          <w:kern w:val="0"/>
          <w:sz w:val="30"/>
          <w:szCs w:val="30"/>
          <w:highlight w:val="none"/>
          <w:lang w:eastAsia="zh-CN"/>
        </w:rPr>
        <w:t/>
        <w:t>1,329,000.00</w:t>
      </w:r>
      <w:r>
        <w:rPr>
          <w:rFonts w:hint="eastAsia" w:ascii="Times New Roman" w:hAnsi="Times New Roman" w:eastAsia="仿宋_GB2312" w:cs="仿宋_GB2312"/>
          <w:kern w:val="0"/>
          <w:sz w:val="30"/>
          <w:szCs w:val="30"/>
          <w:highlight w:val="none"/>
        </w:rPr>
        <w:t/>
        <w:t>元，比</w:t>
      </w:r>
      <w:r>
        <w:rPr>
          <w:rFonts w:hint="eastAsia" w:ascii="Times New Roman" w:hAnsi="Times New Roman" w:eastAsia="仿宋_GB2312" w:cs="Times New Roman"/>
          <w:kern w:val="0"/>
          <w:sz w:val="30"/>
          <w:szCs w:val="30"/>
          <w:highlight w:val="none"/>
          <w:lang w:eastAsia="zh-CN"/>
        </w:rPr>
        <w:t/>
        <w:t>2022</w:t>
      </w:r>
      <w:r>
        <w:rPr>
          <w:rFonts w:hint="eastAsia" w:ascii="Times New Roman" w:hAnsi="Times New Roman" w:eastAsia="仿宋_GB2312" w:cs="仿宋_GB2312"/>
          <w:kern w:val="0"/>
          <w:sz w:val="30"/>
          <w:szCs w:val="30"/>
          <w:highlight w:val="none"/>
        </w:rPr>
        <w:t/>
        <w:t>年</w:t>
      </w:r>
      <w:r>
        <w:rPr>
          <w:rFonts w:hint="eastAsia" w:ascii="Times New Roman" w:hAnsi="Times New Roman" w:eastAsia="仿宋_GB2312" w:cs="仿宋_GB2312"/>
          <w:kern w:val="0"/>
          <w:sz w:val="30"/>
          <w:szCs w:val="30"/>
          <w:highlight w:val="none"/>
          <w:lang w:val="en-US" w:eastAsia="zh-CN"/>
        </w:rPr>
        <w:t/>
        <w:t>减少</w:t>
      </w:r>
      <w:r>
        <w:rPr>
          <w:rFonts w:hint="eastAsia" w:ascii="Times New Roman" w:hAnsi="Times New Roman" w:eastAsia="仿宋_GB2312" w:cs="仿宋_GB2312"/>
          <w:kern w:val="0"/>
          <w:sz w:val="30"/>
          <w:szCs w:val="30"/>
          <w:highlight w:val="none"/>
          <w:lang w:eastAsia="zh-CN"/>
        </w:rPr>
        <w:t/>
        <w:t>24,000.00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kern w:val="0"/>
          <w:sz w:val="30"/>
          <w:szCs w:val="30"/>
          <w:highlight w:val="none"/>
          <w:lang w:val="en-US" w:eastAsia="zh-CN"/>
        </w:rPr>
        <w:t/>
        <w:t>降低</w:t>
      </w:r>
      <w:r>
        <w:rPr>
          <w:rFonts w:hint="eastAsia" w:ascii="Times New Roman" w:hAnsi="Times New Roman" w:eastAsia="仿宋_GB2312" w:cs="仿宋_GB2312"/>
          <w:kern w:val="0"/>
          <w:sz w:val="30"/>
          <w:szCs w:val="30"/>
          <w:highlight w:val="none"/>
          <w:lang w:eastAsia="zh-CN"/>
        </w:rPr>
        <w:t/>
        <w:t>1.77</w:t>
      </w:r>
      <w:r>
        <w:rPr>
          <w:rFonts w:hint="eastAsia" w:ascii="Times New Roman" w:hAnsi="Times New Roman" w:eastAsia="仿宋_GB2312" w:cs="Times New Roman"/>
          <w:kern w:val="0"/>
          <w:sz w:val="30"/>
          <w:szCs w:val="30"/>
          <w:highlight w:val="none"/>
          <w:lang w:eastAsia="zh-CN"/>
        </w:rPr>
        <w:t/>
        <w:t>%</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仿宋_GB2312" w:cs="仿宋_GB2312"/>
          <w:sz w:val="30"/>
          <w:szCs w:val="30"/>
          <w:highlight w:val="none"/>
          <w:lang w:eastAsia="zh-CN"/>
        </w:rPr>
        <w:t/>
        <w:t>本年度厉行节约，减少公用经费支出。</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十一、政府采购支出情况说明</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color w:val="000000"/>
          <w:kern w:val="0"/>
          <w:sz w:val="30"/>
          <w:szCs w:val="30"/>
          <w:highlight w:val="none"/>
          <w:lang w:eastAsia="zh-CN"/>
        </w:rPr>
        <w:t/>
        <w:t>天津市规划和自然资源局河东分局</w:t>
      </w:r>
      <w:r>
        <w:rPr>
          <w:rFonts w:hint="eastAsia" w:ascii="Times New Roman" w:hAnsi="Times New Roman" w:eastAsia="宋体" w:cs="宋体"/>
          <w:color w:val="000000"/>
          <w:kern w:val="0"/>
          <w:sz w:val="30"/>
          <w:szCs w:val="30"/>
          <w:highlight w:val="none"/>
          <w:lang w:eastAsia="zh-CN"/>
        </w:rPr>
        <w:t/>
        <w:t>2023</w:t>
      </w:r>
      <w:r>
        <w:rPr>
          <w:rFonts w:hint="eastAsia" w:ascii="Times New Roman" w:hAnsi="Times New Roman" w:eastAsia="仿宋_GB2312" w:cs="仿宋_GB2312"/>
          <w:color w:val="000000"/>
          <w:kern w:val="0"/>
          <w:sz w:val="30"/>
          <w:szCs w:val="30"/>
          <w:highlight w:val="none"/>
        </w:rPr>
        <w:t/>
        <w:t>年</w:t>
      </w:r>
      <w:r>
        <w:rPr>
          <w:rFonts w:hint="eastAsia" w:ascii="Times New Roman" w:hAnsi="Times New Roman" w:eastAsia="仿宋_GB2312" w:cs="仿宋_GB2312"/>
          <w:sz w:val="30"/>
          <w:szCs w:val="30"/>
          <w:highlight w:val="none"/>
        </w:rPr>
        <w:t/>
        <w:t>政府</w:t>
      </w:r>
      <w:r>
        <w:rPr>
          <w:rFonts w:hint="eastAsia" w:ascii="Times New Roman" w:hAnsi="Times New Roman" w:eastAsia="仿宋_GB2312" w:cs="仿宋_GB2312"/>
          <w:color w:val="000000"/>
          <w:kern w:val="0"/>
          <w:sz w:val="30"/>
          <w:szCs w:val="30"/>
          <w:highlight w:val="none"/>
        </w:rPr>
        <w:t/>
        <w:t>采购支出总额</w:t>
      </w:r>
      <w:r>
        <w:rPr>
          <w:rFonts w:hint="eastAsia" w:ascii="Times New Roman" w:hAnsi="Times New Roman" w:eastAsia="仿宋_GB2312" w:cs="Times New Roman"/>
          <w:kern w:val="0"/>
          <w:sz w:val="30"/>
          <w:szCs w:val="30"/>
          <w:highlight w:val="none"/>
          <w:lang w:eastAsia="zh-CN"/>
        </w:rPr>
        <w:t/>
        <w:t>2,000.00</w:t>
      </w:r>
      <w:r>
        <w:rPr>
          <w:rFonts w:hint="eastAsia" w:ascii="Times New Roman" w:hAnsi="Times New Roman" w:eastAsia="仿宋_GB2312" w:cs="仿宋_GB2312"/>
          <w:color w:val="000000"/>
          <w:kern w:val="0"/>
          <w:sz w:val="30"/>
          <w:szCs w:val="30"/>
          <w:highlight w:val="none"/>
        </w:rPr>
        <w:t/>
        <w:t>元，其中：政府采购货物支出</w:t>
      </w:r>
      <w:r>
        <w:rPr>
          <w:rFonts w:hint="eastAsia" w:ascii="Times New Roman" w:hAnsi="Times New Roman" w:eastAsia="仿宋_GB2312" w:cs="Times New Roman"/>
          <w:kern w:val="0"/>
          <w:sz w:val="30"/>
          <w:szCs w:val="30"/>
          <w:highlight w:val="none"/>
          <w:lang w:eastAsia="zh-CN"/>
        </w:rPr>
        <w:t/>
        <w:t>2,000.00</w:t>
      </w:r>
      <w:r>
        <w:rPr>
          <w:rFonts w:hint="eastAsia" w:ascii="Times New Roman" w:hAnsi="Times New Roman" w:eastAsia="仿宋_GB2312" w:cs="仿宋_GB2312"/>
          <w:color w:val="000000"/>
          <w:kern w:val="0"/>
          <w:sz w:val="30"/>
          <w:szCs w:val="30"/>
          <w:highlight w:val="none"/>
        </w:rPr>
        <w:t/>
        <w:t>元、政府采购工程支出</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元、政府采购服务支出</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元。授予中小企业合同金额</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元，占政府采购支出总额的</w:t>
      </w:r>
      <w:r>
        <w:rPr>
          <w:rFonts w:hint="eastAsia" w:ascii="Times New Roman" w:hAnsi="Times New Roman" w:eastAsia="仿宋_GB2312" w:cs="Times New Roman"/>
          <w:kern w:val="0"/>
          <w:sz w:val="30"/>
          <w:szCs w:val="30"/>
          <w:highlight w:val="none"/>
          <w:lang w:eastAsia="zh-CN"/>
        </w:rPr>
        <w:t/>
        <w:t>0.0</w:t>
      </w:r>
      <w:r>
        <w:rPr>
          <w:rFonts w:hint="eastAsia" w:ascii="Times New Roman" w:hAnsi="Times New Roman" w:eastAsia="仿宋_GB2312" w:cs="Times New Roman"/>
          <w:kern w:val="0"/>
          <w:sz w:val="30"/>
          <w:szCs w:val="30"/>
          <w:highlight w:val="none"/>
          <w:lang w:eastAsia="zh-CN"/>
        </w:rPr>
        <w:t/>
        <w:t>%</w:t>
      </w:r>
      <w:r>
        <w:rPr>
          <w:rFonts w:hint="eastAsia" w:ascii="Times New Roman" w:hAnsi="Times New Roman" w:eastAsia="仿宋_GB2312" w:cs="仿宋_GB2312"/>
          <w:color w:val="000000"/>
          <w:kern w:val="0"/>
          <w:sz w:val="30"/>
          <w:szCs w:val="30"/>
          <w:highlight w:val="none"/>
        </w:rPr>
        <w:t/>
        <w:t>，其中：授予小微企业合同金额</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元，占政府采购支出总额的</w:t>
      </w:r>
      <w:r>
        <w:rPr>
          <w:rFonts w:hint="eastAsia" w:ascii="Times New Roman" w:hAnsi="Times New Roman" w:eastAsia="仿宋_GB2312" w:cs="Times New Roman"/>
          <w:kern w:val="0"/>
          <w:sz w:val="30"/>
          <w:szCs w:val="30"/>
          <w:highlight w:val="none"/>
          <w:lang w:eastAsia="zh-CN"/>
        </w:rPr>
        <w:t/>
        <w:t>0.0</w:t>
      </w:r>
      <w:r>
        <w:rPr>
          <w:rFonts w:hint="eastAsia" w:ascii="Times New Roman" w:hAnsi="Times New Roman" w:eastAsia="仿宋_GB2312" w:cs="Times New Roman"/>
          <w:kern w:val="0"/>
          <w:sz w:val="30"/>
          <w:szCs w:val="30"/>
          <w:highlight w:val="none"/>
          <w:lang w:eastAsia="zh-CN"/>
        </w:rPr>
        <w:t/>
        <w:t>%</w:t>
      </w:r>
      <w:r>
        <w:rPr>
          <w:rFonts w:hint="eastAsia" w:ascii="Times New Roman" w:hAnsi="Times New Roman" w:eastAsia="仿宋_GB2312" w:cs="仿宋_GB2312"/>
          <w:color w:val="000000"/>
          <w:kern w:val="0"/>
          <w:sz w:val="30"/>
          <w:szCs w:val="30"/>
          <w:highlight w:val="none"/>
        </w:rPr>
        <w:t/>
        <w:t>；</w:t>
      </w:r>
      <w:r>
        <w:rPr>
          <w:rFonts w:hint="eastAsia" w:ascii="Times New Roman" w:hAnsi="Times New Roman" w:eastAsia="仿宋_GB2312" w:cs="仿宋_GB2312"/>
          <w:kern w:val="0"/>
          <w:sz w:val="30"/>
          <w:szCs w:val="30"/>
          <w:highlight w:val="none"/>
        </w:rPr>
        <w:t/>
        <w:t>货物采购授予中小企业合同金额占货物支出金额的</w:t>
      </w:r>
      <w:r>
        <w:rPr>
          <w:rFonts w:hint="eastAsia" w:ascii="Times New Roman" w:hAnsi="Times New Roman" w:eastAsia="仿宋_GB2312" w:cs="仿宋_GB2312"/>
          <w:sz w:val="30"/>
          <w:szCs w:val="30"/>
          <w:highlight w:val="none"/>
          <w:lang w:eastAsia="zh-CN"/>
        </w:rPr>
        <w:t/>
        <w:t>0.0</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，工程采购授予中小企业合同金额占工程支出金额的</w:t>
      </w:r>
      <w:r>
        <w:rPr>
          <w:rFonts w:hint="eastAsia" w:ascii="Times New Roman" w:hAnsi="Times New Roman" w:eastAsia="仿宋_GB2312" w:cs="仿宋_GB2312"/>
          <w:sz w:val="30"/>
          <w:szCs w:val="30"/>
          <w:highlight w:val="none"/>
          <w:lang w:eastAsia="zh-CN"/>
        </w:rPr>
        <w:t/>
        <w:t>0.0</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，服务采购授予中小企业合同金额占服务支出金额的</w:t>
      </w:r>
      <w:r>
        <w:rPr>
          <w:rFonts w:hint="eastAsia" w:ascii="Times New Roman" w:hAnsi="Times New Roman" w:eastAsia="仿宋_GB2312" w:cs="仿宋_GB2312"/>
          <w:sz w:val="30"/>
          <w:szCs w:val="30"/>
          <w:highlight w:val="none"/>
          <w:lang w:eastAsia="zh-CN"/>
        </w:rPr>
        <w:t/>
        <w:t>0.0</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w:t>
      </w:r>
    </w:p>
    <w:p>
      <w:pPr>
        <w:autoSpaceDE w:val="0"/>
        <w:autoSpaceDN w:val="0"/>
        <w:adjustRightInd w:val="0"/>
        <w:spacing w:line="600" w:lineRule="exact"/>
        <w:ind w:firstLine="600"/>
        <w:jc w:val="left"/>
        <w:rPr>
          <w:rFonts w:ascii="Times New Roman" w:hAnsi="Times New Roman" w:eastAsia="楷体" w:cs="Times New Roman"/>
          <w:kern w:val="0"/>
          <w:sz w:val="30"/>
          <w:szCs w:val="30"/>
          <w:highlight w:val="none"/>
        </w:rPr>
      </w:pPr>
      <w:r>
        <w:rPr>
          <w:rFonts w:hint="eastAsia" w:ascii="Times New Roman" w:hAnsi="Times New Roman" w:eastAsia="仿宋_GB2312" w:cs="仿宋_GB2312"/>
          <w:sz w:val="30"/>
          <w:szCs w:val="30"/>
          <w:highlight w:val="none"/>
          <w:lang w:eastAsia="zh-CN"/>
        </w:rPr>
        <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十二、</w:t>
      </w:r>
      <w:r>
        <w:rPr>
          <w:rFonts w:hint="eastAsia" w:ascii="Times New Roman" w:hAnsi="Times New Roman" w:eastAsia="黑体" w:cs="黑体"/>
          <w:b/>
          <w:bCs/>
          <w:kern w:val="0"/>
          <w:sz w:val="30"/>
          <w:szCs w:val="30"/>
          <w:highlight w:val="none"/>
        </w:rPr>
        <w:t/>
        <w:t>国有资产占有使用情况说明</w:t>
      </w:r>
    </w:p>
    <w:p>
      <w:pPr>
        <w:autoSpaceDE w:val="0"/>
        <w:autoSpaceDN w:val="0"/>
        <w:adjustRightInd w:val="0"/>
        <w:spacing w:line="600" w:lineRule="exact"/>
        <w:ind w:firstLine="720"/>
        <w:jc w:val="left"/>
        <w:rPr>
          <w:rFonts w:ascii="Times New Roman" w:hAnsi="Times New Roman" w:eastAsia="仿宋_GB2312" w:cs="Times New Roman"/>
          <w:color w:val="000000"/>
          <w:kern w:val="0"/>
          <w:sz w:val="30"/>
          <w:szCs w:val="30"/>
          <w:highlight w:val="none"/>
        </w:rPr>
      </w:pPr>
      <w:r>
        <w:rPr>
          <w:rFonts w:hint="eastAsia" w:ascii="Times New Roman" w:hAnsi="Times New Roman" w:eastAsia="仿宋_GB2312" w:cs="仿宋_GB2312"/>
          <w:color w:val="000000"/>
          <w:kern w:val="0"/>
          <w:sz w:val="30"/>
          <w:szCs w:val="30"/>
          <w:highlight w:val="none"/>
        </w:rPr>
        <w:t/>
        <w:t>截至</w:t>
      </w:r>
      <w:r>
        <w:rPr>
          <w:rFonts w:ascii="Times New Roman" w:hAnsi="Times New Roman" w:eastAsia="宋体" w:cs="宋体"/>
          <w:color w:val="000000"/>
          <w:kern w:val="0"/>
          <w:sz w:val="30"/>
          <w:szCs w:val="30"/>
          <w:highlight w:val="none"/>
        </w:rPr>
        <w:t/>
        <w:t>202</w:t>
      </w:r>
      <w:r>
        <w:rPr>
          <w:rFonts w:hint="eastAsia" w:ascii="Times New Roman" w:hAnsi="Times New Roman" w:eastAsia="宋体" w:cs="宋体"/>
          <w:color w:val="000000"/>
          <w:kern w:val="0"/>
          <w:sz w:val="30"/>
          <w:szCs w:val="30"/>
          <w:highlight w:val="none"/>
          <w:lang w:val="en-US" w:eastAsia="zh-CN"/>
        </w:rPr>
        <w:t/>
        <w:t>3</w:t>
      </w:r>
      <w:r>
        <w:rPr>
          <w:rFonts w:hint="eastAsia" w:ascii="Times New Roman" w:hAnsi="Times New Roman" w:eastAsia="仿宋_GB2312" w:cs="仿宋_GB2312"/>
          <w:color w:val="000000"/>
          <w:kern w:val="0"/>
          <w:sz w:val="30"/>
          <w:szCs w:val="30"/>
          <w:highlight w:val="none"/>
        </w:rPr>
        <w:t/>
        <w:t>年</w:t>
      </w:r>
      <w:r>
        <w:rPr>
          <w:rFonts w:ascii="Times New Roman" w:hAnsi="Times New Roman" w:eastAsia="仿宋_GB2312" w:cs="Times New Roman"/>
          <w:color w:val="000000"/>
          <w:kern w:val="0"/>
          <w:sz w:val="30"/>
          <w:szCs w:val="30"/>
          <w:highlight w:val="none"/>
        </w:rPr>
        <w:t/>
        <w:t>12</w:t>
      </w:r>
      <w:r>
        <w:rPr>
          <w:rFonts w:hint="eastAsia" w:ascii="Times New Roman" w:hAnsi="Times New Roman" w:eastAsia="仿宋_GB2312" w:cs="仿宋_GB2312"/>
          <w:color w:val="000000"/>
          <w:kern w:val="0"/>
          <w:sz w:val="30"/>
          <w:szCs w:val="30"/>
          <w:highlight w:val="none"/>
        </w:rPr>
        <w:t/>
        <w:t>月</w:t>
      </w:r>
      <w:r>
        <w:rPr>
          <w:rFonts w:ascii="Times New Roman" w:hAnsi="Times New Roman" w:eastAsia="仿宋_GB2312" w:cs="Times New Roman"/>
          <w:color w:val="000000"/>
          <w:kern w:val="0"/>
          <w:sz w:val="30"/>
          <w:szCs w:val="30"/>
          <w:highlight w:val="none"/>
        </w:rPr>
        <w:t/>
        <w:t>31</w:t>
      </w:r>
      <w:r>
        <w:rPr>
          <w:rFonts w:hint="eastAsia" w:ascii="Times New Roman" w:hAnsi="Times New Roman" w:eastAsia="仿宋_GB2312" w:cs="仿宋_GB2312"/>
          <w:color w:val="000000"/>
          <w:kern w:val="0"/>
          <w:sz w:val="30"/>
          <w:szCs w:val="30"/>
          <w:highlight w:val="none"/>
        </w:rPr>
        <w:t/>
        <w:t>日，</w:t>
      </w:r>
      <w:r>
        <w:rPr>
          <w:rFonts w:hint="eastAsia" w:ascii="Times New Roman" w:hAnsi="Times New Roman" w:eastAsia="仿宋_GB2312" w:cs="仿宋_GB2312"/>
          <w:color w:val="000000"/>
          <w:kern w:val="0"/>
          <w:sz w:val="30"/>
          <w:szCs w:val="30"/>
          <w:highlight w:val="none"/>
          <w:lang w:eastAsia="zh-CN"/>
        </w:rPr>
        <w:t/>
        <w:t>天津市规划和自然资源局河东分局</w:t>
      </w:r>
      <w:r>
        <w:rPr>
          <w:rFonts w:hint="eastAsia" w:ascii="Times New Roman" w:hAnsi="Times New Roman" w:eastAsia="仿宋_GB2312" w:cs="仿宋_GB2312"/>
          <w:color w:val="000000"/>
          <w:kern w:val="0"/>
          <w:sz w:val="30"/>
          <w:szCs w:val="30"/>
          <w:highlight w:val="none"/>
        </w:rPr>
        <w:t/>
        <w:t>共有车辆</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color w:val="000000"/>
          <w:kern w:val="0"/>
          <w:sz w:val="30"/>
          <w:szCs w:val="30"/>
          <w:highlight w:val="none"/>
        </w:rPr>
        <w:t/>
        <w:t>辆，其中：</w:t>
      </w:r>
      <w:r>
        <w:rPr>
          <w:rFonts w:ascii="Times New Roman" w:hAnsi="Times New Roman" w:eastAsia="仿宋_GB2312" w:cs="Times New Roman"/>
          <w:kern w:val="0"/>
          <w:sz w:val="30"/>
          <w:szCs w:val="30"/>
          <w:highlight w:val="none"/>
        </w:rPr>
        <w:t/>
        <w:t>副部（省）级及以上领导用车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主要</w:t>
      </w:r>
      <w:r>
        <w:rPr>
          <w:rFonts w:hint="eastAsia" w:ascii="Times New Roman" w:hAnsi="Times New Roman" w:eastAsia="仿宋_GB2312" w:cs="Times New Roman"/>
          <w:kern w:val="0"/>
          <w:sz w:val="30"/>
          <w:szCs w:val="30"/>
          <w:highlight w:val="none"/>
          <w:lang w:val="en-US" w:eastAsia="zh-CN"/>
        </w:rPr>
        <w:t/>
        <w:t>负责人</w:t>
      </w:r>
      <w:r>
        <w:rPr>
          <w:rFonts w:ascii="Times New Roman" w:hAnsi="Times New Roman" w:eastAsia="仿宋_GB2312" w:cs="Times New Roman"/>
          <w:kern w:val="0"/>
          <w:sz w:val="30"/>
          <w:szCs w:val="30"/>
          <w:highlight w:val="none"/>
        </w:rPr>
        <w:t/>
        <w:t>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机要通信用车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应急保障用车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执法执勤用车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特种专业技术用车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离退休干部</w:t>
      </w:r>
      <w:r>
        <w:rPr>
          <w:rFonts w:hint="eastAsia" w:ascii="Times New Roman" w:hAnsi="Times New Roman" w:eastAsia="仿宋_GB2312" w:cs="Times New Roman"/>
          <w:kern w:val="0"/>
          <w:sz w:val="30"/>
          <w:szCs w:val="30"/>
          <w:highlight w:val="none"/>
          <w:lang w:val="en-US" w:eastAsia="zh-CN"/>
        </w:rPr>
        <w:t/>
        <w:t>服务</w:t>
      </w:r>
      <w:r>
        <w:rPr>
          <w:rFonts w:ascii="Times New Roman" w:hAnsi="Times New Roman" w:eastAsia="仿宋_GB2312" w:cs="Times New Roman"/>
          <w:kern w:val="0"/>
          <w:sz w:val="30"/>
          <w:szCs w:val="30"/>
          <w:highlight w:val="none"/>
        </w:rPr>
        <w:t/>
        <w:t>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其他用车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hint="eastAsia" w:ascii="Times New Roman" w:hAnsi="Times New Roman" w:eastAsia="仿宋_GB2312" w:cs="Times New Roman"/>
          <w:kern w:val="0"/>
          <w:sz w:val="30"/>
          <w:szCs w:val="30"/>
          <w:highlight w:val="none"/>
        </w:rPr>
        <w:t/>
        <w:t>，其他用车主要包括</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lang w:val="zh-CN"/>
        </w:rPr>
        <w:t/>
        <w:t>。</w:t>
      </w:r>
      <w:r>
        <w:rPr>
          <w:rFonts w:hint="eastAsia" w:ascii="Times New Roman" w:hAnsi="Times New Roman" w:eastAsia="仿宋_GB2312" w:cs="仿宋_GB2312"/>
          <w:kern w:val="0"/>
          <w:sz w:val="30"/>
          <w:szCs w:val="30"/>
          <w:highlight w:val="none"/>
        </w:rPr>
        <w:t/>
        <w:t>单价</w:t>
      </w:r>
      <w:r>
        <w:rPr>
          <w:rFonts w:ascii="Times New Roman" w:hAnsi="Times New Roman" w:eastAsia="仿宋_GB2312" w:cs="仿宋_GB2312"/>
          <w:kern w:val="0"/>
          <w:sz w:val="30"/>
          <w:szCs w:val="30"/>
          <w:highlight w:val="none"/>
        </w:rPr>
        <w:t/>
        <w:t>100</w:t>
      </w:r>
      <w:r>
        <w:rPr>
          <w:rFonts w:hint="eastAsia" w:ascii="Times New Roman" w:hAnsi="Times New Roman" w:eastAsia="仿宋_GB2312" w:cs="仿宋_GB2312"/>
          <w:kern w:val="0"/>
          <w:sz w:val="30"/>
          <w:szCs w:val="30"/>
          <w:highlight w:val="none"/>
        </w:rPr>
        <w:t/>
        <w:t>万元以上的设备</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台（套）。</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天津市规划和自然资源局河东分局2023年度无国有资产占有使用情况。</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十三、</w:t>
      </w:r>
      <w:r>
        <w:rPr>
          <w:rFonts w:hint="eastAsia" w:ascii="Times New Roman" w:hAnsi="Times New Roman" w:eastAsia="黑体" w:cs="黑体"/>
          <w:b/>
          <w:bCs/>
          <w:kern w:val="0"/>
          <w:sz w:val="30"/>
          <w:szCs w:val="30"/>
          <w:highlight w:val="none"/>
        </w:rPr>
        <w:t/>
        <w:t>预算绩效情况说明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天津市规划和自然资源局河东分局已对3个市级项目开展绩效自评，涉及金额 362,066.00元，自评结果已随部门决算一并公开。</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十四、</w:t>
      </w:r>
      <w:r>
        <w:rPr>
          <w:rFonts w:hint="eastAsia" w:ascii="Times New Roman" w:hAnsi="Times New Roman" w:eastAsia="黑体" w:cs="黑体"/>
          <w:b/>
          <w:bCs/>
          <w:kern w:val="0"/>
          <w:sz w:val="30"/>
          <w:szCs w:val="30"/>
          <w:highlight w:val="none"/>
        </w:rPr>
        <w:t/>
        <w:t>教育、医疗卫生、社会保障和就业、住房保障、涉农补贴等民生支出情况说明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天津市规划和自然资源局河东分局不属于乡、镇、街级单位，不涉及公开2023年度教育、医疗卫生、社会保障和就业、住房保障、涉农补贴等民生支出情况。</w:t>
      </w:r>
    </w:p>
    <w:p>
      <w:pPr>
        <w:autoSpaceDE w:val="0"/>
        <w:autoSpaceDN w:val="0"/>
        <w:adjustRightInd w:val="0"/>
        <w:jc w:val="left"/>
        <w:rPr>
          <w:rFonts w:ascii="Times New Roman" w:hAnsi="Times New Roman" w:eastAsia="仿宋_GB2312" w:cs="仿宋_GB2312"/>
          <w:b/>
          <w:bCs/>
          <w:color w:val="000000"/>
          <w:kern w:val="0"/>
          <w:sz w:val="30"/>
          <w:szCs w:val="30"/>
          <w:highlight w:val="none"/>
        </w:rPr>
      </w:pPr>
      <w:r>
        <w:rPr>
          <w:rFonts w:ascii="Times New Roman" w:hAnsi="Times New Roman" w:eastAsia="仿宋_GB2312" w:cs="仿宋_GB2312"/>
          <w:b/>
          <w:bCs/>
          <w:color w:val="000000"/>
          <w:kern w:val="0"/>
          <w:sz w:val="30"/>
          <w:szCs w:val="30"/>
          <w:highlight w:val="none"/>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第四部分名词解释</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val="en-US" w:eastAsia="zh-CN"/>
        </w:rPr>
        <w:t/>
        <w:t>1</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2.</w:t>
      </w:r>
      <w:r>
        <w:rPr>
          <w:rFonts w:hint="eastAsia" w:ascii="Times New Roman" w:hAnsi="Times New Roman" w:eastAsia="仿宋_GB2312" w:cs="仿宋_GB2312"/>
          <w:kern w:val="0"/>
          <w:sz w:val="30"/>
          <w:szCs w:val="30"/>
          <w:highlight w:val="none"/>
        </w:rPr>
        <w:t/>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autoSpaceDE w:val="0"/>
        <w:autoSpaceDN w:val="0"/>
        <w:adjustRightInd w:val="0"/>
        <w:spacing w:line="600" w:lineRule="exact"/>
        <w:ind w:firstLine="600"/>
        <w:jc w:val="left"/>
        <w:rPr>
          <w:rFonts w:ascii="Times New Roman" w:hAnsi="Times New Roman"/>
          <w:highlight w:val="none"/>
        </w:rPr>
      </w:pPr>
      <w:r>
        <w:rPr>
          <w:rFonts w:ascii="Times New Roman" w:hAnsi="Times New Roman" w:eastAsia="仿宋_GB2312" w:cs="仿宋_GB2312"/>
          <w:kern w:val="0"/>
          <w:sz w:val="30"/>
          <w:szCs w:val="30"/>
          <w:highlight w:val="none"/>
        </w:rPr>
        <w:t/>
        <w:t>3.“</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yYTYxNzQwYTk1MDM4YTdjNWU4MGNkZGU0MzE1ZTMifQ=="/>
  </w:docVars>
  <w:rsids>
    <w:rsidRoot w:val="006A094D"/>
    <w:rsid w:val="00013A12"/>
    <w:rsid w:val="0002687D"/>
    <w:rsid w:val="00047C6F"/>
    <w:rsid w:val="000528EE"/>
    <w:rsid w:val="000719FD"/>
    <w:rsid w:val="000B5C71"/>
    <w:rsid w:val="000D4B98"/>
    <w:rsid w:val="00127EFA"/>
    <w:rsid w:val="00142888"/>
    <w:rsid w:val="00152EEB"/>
    <w:rsid w:val="00153077"/>
    <w:rsid w:val="00167CB7"/>
    <w:rsid w:val="001A0E4F"/>
    <w:rsid w:val="001B5C3C"/>
    <w:rsid w:val="001C0399"/>
    <w:rsid w:val="001D587E"/>
    <w:rsid w:val="002124F6"/>
    <w:rsid w:val="00264B59"/>
    <w:rsid w:val="002A4997"/>
    <w:rsid w:val="002E6086"/>
    <w:rsid w:val="00302490"/>
    <w:rsid w:val="003227B2"/>
    <w:rsid w:val="003536BE"/>
    <w:rsid w:val="003B25FB"/>
    <w:rsid w:val="004A482F"/>
    <w:rsid w:val="004F39BF"/>
    <w:rsid w:val="005062D7"/>
    <w:rsid w:val="005175E6"/>
    <w:rsid w:val="00525157"/>
    <w:rsid w:val="005349A2"/>
    <w:rsid w:val="00575537"/>
    <w:rsid w:val="005D1367"/>
    <w:rsid w:val="005D3F56"/>
    <w:rsid w:val="00654D17"/>
    <w:rsid w:val="006623EC"/>
    <w:rsid w:val="006A094D"/>
    <w:rsid w:val="006D2409"/>
    <w:rsid w:val="006E65DB"/>
    <w:rsid w:val="00776FF3"/>
    <w:rsid w:val="0078156E"/>
    <w:rsid w:val="00786E74"/>
    <w:rsid w:val="007D1285"/>
    <w:rsid w:val="007E49E1"/>
    <w:rsid w:val="007F6DA7"/>
    <w:rsid w:val="008174D5"/>
    <w:rsid w:val="00885126"/>
    <w:rsid w:val="0089698B"/>
    <w:rsid w:val="008D48A9"/>
    <w:rsid w:val="00941A30"/>
    <w:rsid w:val="00977DCC"/>
    <w:rsid w:val="009820CF"/>
    <w:rsid w:val="00982A8B"/>
    <w:rsid w:val="009A7ED3"/>
    <w:rsid w:val="009D74D7"/>
    <w:rsid w:val="00A57AE7"/>
    <w:rsid w:val="00AF71AE"/>
    <w:rsid w:val="00B33C70"/>
    <w:rsid w:val="00B75228"/>
    <w:rsid w:val="00B811F1"/>
    <w:rsid w:val="00B81B9F"/>
    <w:rsid w:val="00BC763A"/>
    <w:rsid w:val="00BC7D6F"/>
    <w:rsid w:val="00BD3CAC"/>
    <w:rsid w:val="00BF697A"/>
    <w:rsid w:val="00C52E77"/>
    <w:rsid w:val="00C65A44"/>
    <w:rsid w:val="00C76AC3"/>
    <w:rsid w:val="00C83EB4"/>
    <w:rsid w:val="00D4505A"/>
    <w:rsid w:val="00D65B41"/>
    <w:rsid w:val="00DC3234"/>
    <w:rsid w:val="00DC3CD0"/>
    <w:rsid w:val="00DD60B5"/>
    <w:rsid w:val="00E7602B"/>
    <w:rsid w:val="00E964B2"/>
    <w:rsid w:val="00EA6549"/>
    <w:rsid w:val="00F007FE"/>
    <w:rsid w:val="017D4A3B"/>
    <w:rsid w:val="01A10E80"/>
    <w:rsid w:val="029D518A"/>
    <w:rsid w:val="03311B3F"/>
    <w:rsid w:val="03901927"/>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B5316"/>
    <w:rsid w:val="0F4936D8"/>
    <w:rsid w:val="0FC42B69"/>
    <w:rsid w:val="0FF22FB9"/>
    <w:rsid w:val="118916FB"/>
    <w:rsid w:val="1221675E"/>
    <w:rsid w:val="12C34799"/>
    <w:rsid w:val="12D93FBD"/>
    <w:rsid w:val="13463246"/>
    <w:rsid w:val="142D4C1F"/>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3736675"/>
    <w:rsid w:val="24B227A0"/>
    <w:rsid w:val="25BA7C7E"/>
    <w:rsid w:val="2666570F"/>
    <w:rsid w:val="26DB4B05"/>
    <w:rsid w:val="271B299E"/>
    <w:rsid w:val="27DD7C53"/>
    <w:rsid w:val="284E3F62"/>
    <w:rsid w:val="28612632"/>
    <w:rsid w:val="2A924D25"/>
    <w:rsid w:val="2BC20F83"/>
    <w:rsid w:val="2C800474"/>
    <w:rsid w:val="2C8F0671"/>
    <w:rsid w:val="2D5A0475"/>
    <w:rsid w:val="2DA05507"/>
    <w:rsid w:val="2E487134"/>
    <w:rsid w:val="2E8C3709"/>
    <w:rsid w:val="2F146650"/>
    <w:rsid w:val="2FA13000"/>
    <w:rsid w:val="2FC74096"/>
    <w:rsid w:val="2FF951BC"/>
    <w:rsid w:val="307A24E3"/>
    <w:rsid w:val="307A6987"/>
    <w:rsid w:val="30BB5227"/>
    <w:rsid w:val="313F372D"/>
    <w:rsid w:val="32146967"/>
    <w:rsid w:val="32443D30"/>
    <w:rsid w:val="324A2E0F"/>
    <w:rsid w:val="32672F3B"/>
    <w:rsid w:val="33032C66"/>
    <w:rsid w:val="332D3FC0"/>
    <w:rsid w:val="354D7E20"/>
    <w:rsid w:val="35747E49"/>
    <w:rsid w:val="35823AFA"/>
    <w:rsid w:val="358C1096"/>
    <w:rsid w:val="35B6328D"/>
    <w:rsid w:val="35F44AE6"/>
    <w:rsid w:val="36144696"/>
    <w:rsid w:val="36580FD3"/>
    <w:rsid w:val="381E22EE"/>
    <w:rsid w:val="3AF76503"/>
    <w:rsid w:val="3B0209DD"/>
    <w:rsid w:val="3B0C198B"/>
    <w:rsid w:val="3B483C6E"/>
    <w:rsid w:val="3B776F10"/>
    <w:rsid w:val="3B7C7A57"/>
    <w:rsid w:val="3B8E1539"/>
    <w:rsid w:val="3D600CB3"/>
    <w:rsid w:val="3E426F14"/>
    <w:rsid w:val="3EB42189"/>
    <w:rsid w:val="3EC62D97"/>
    <w:rsid w:val="3EEF0B4C"/>
    <w:rsid w:val="3EF16375"/>
    <w:rsid w:val="3F2006FA"/>
    <w:rsid w:val="40CF0629"/>
    <w:rsid w:val="4137238C"/>
    <w:rsid w:val="41CC0838"/>
    <w:rsid w:val="43612B5A"/>
    <w:rsid w:val="43805C0B"/>
    <w:rsid w:val="43B835F7"/>
    <w:rsid w:val="44552CED"/>
    <w:rsid w:val="44EB17AA"/>
    <w:rsid w:val="45984C48"/>
    <w:rsid w:val="47727F60"/>
    <w:rsid w:val="485D29BF"/>
    <w:rsid w:val="49374433"/>
    <w:rsid w:val="49DA103E"/>
    <w:rsid w:val="4A2319E6"/>
    <w:rsid w:val="4A8E57CD"/>
    <w:rsid w:val="4B3D495D"/>
    <w:rsid w:val="4CA13CE1"/>
    <w:rsid w:val="4CD450D8"/>
    <w:rsid w:val="4D14664A"/>
    <w:rsid w:val="4D210FC7"/>
    <w:rsid w:val="4D720D77"/>
    <w:rsid w:val="4DB9688D"/>
    <w:rsid w:val="4E4E3945"/>
    <w:rsid w:val="4E8C7B5A"/>
    <w:rsid w:val="4F167E2F"/>
    <w:rsid w:val="4F391364"/>
    <w:rsid w:val="4FA424E7"/>
    <w:rsid w:val="4FBD62FD"/>
    <w:rsid w:val="4FD337AC"/>
    <w:rsid w:val="4FE523CE"/>
    <w:rsid w:val="5236167C"/>
    <w:rsid w:val="52A37398"/>
    <w:rsid w:val="53C102A5"/>
    <w:rsid w:val="54380029"/>
    <w:rsid w:val="54A61249"/>
    <w:rsid w:val="54F16968"/>
    <w:rsid w:val="55AC416B"/>
    <w:rsid w:val="564C0516"/>
    <w:rsid w:val="5713248B"/>
    <w:rsid w:val="57833AC4"/>
    <w:rsid w:val="578735B4"/>
    <w:rsid w:val="58C3061C"/>
    <w:rsid w:val="58E93DFA"/>
    <w:rsid w:val="599E4BE5"/>
    <w:rsid w:val="5A1C0F73"/>
    <w:rsid w:val="5A964C59"/>
    <w:rsid w:val="5C170425"/>
    <w:rsid w:val="5CD612EB"/>
    <w:rsid w:val="5D032E6E"/>
    <w:rsid w:val="5DC66F7C"/>
    <w:rsid w:val="5DFB2606"/>
    <w:rsid w:val="5E015742"/>
    <w:rsid w:val="5EB1144C"/>
    <w:rsid w:val="5EF37781"/>
    <w:rsid w:val="5F6D7131"/>
    <w:rsid w:val="5F7856C5"/>
    <w:rsid w:val="5FF67529"/>
    <w:rsid w:val="615900E7"/>
    <w:rsid w:val="61D75AE1"/>
    <w:rsid w:val="620B43D3"/>
    <w:rsid w:val="624C1682"/>
    <w:rsid w:val="63B80927"/>
    <w:rsid w:val="643C1F0A"/>
    <w:rsid w:val="644D16E1"/>
    <w:rsid w:val="64925346"/>
    <w:rsid w:val="654D2EBE"/>
    <w:rsid w:val="654E5711"/>
    <w:rsid w:val="656942F9"/>
    <w:rsid w:val="65B558C0"/>
    <w:rsid w:val="665D659A"/>
    <w:rsid w:val="667274BD"/>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9B7155B"/>
    <w:rsid w:val="79DC07A5"/>
    <w:rsid w:val="7ACA53E2"/>
    <w:rsid w:val="7B143565"/>
    <w:rsid w:val="7E2E7A36"/>
    <w:rsid w:val="7E703A39"/>
    <w:rsid w:val="7F3217A8"/>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9"/>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0"/>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tabs>
        <w:tab w:val="center" w:pos="4153"/>
        <w:tab w:val="right" w:pos="8306"/>
      </w:tabs>
      <w:snapToGrid w:val="0"/>
      <w:jc w:val="center"/>
    </w:pPr>
    <w:rPr>
      <w:sz w:val="18"/>
      <w:szCs w:val="18"/>
    </w:rPr>
  </w:style>
  <w:style w:type="character" w:customStyle="1" w:styleId="9">
    <w:name w:val="标题 1 字符"/>
    <w:basedOn w:val="8"/>
    <w:link w:val="2"/>
    <w:qFormat/>
    <w:uiPriority w:val="99"/>
    <w:rPr>
      <w:rFonts w:ascii="方正小标宋简体" w:eastAsia="方正小标宋简体"/>
      <w:kern w:val="0"/>
      <w:sz w:val="24"/>
      <w:szCs w:val="24"/>
    </w:rPr>
  </w:style>
  <w:style w:type="character" w:customStyle="1" w:styleId="10">
    <w:name w:val="标题 2 字符"/>
    <w:basedOn w:val="8"/>
    <w:link w:val="3"/>
    <w:qFormat/>
    <w:uiPriority w:val="99"/>
    <w:rPr>
      <w:rFonts w:ascii="方正小标宋简体" w:eastAsia="方正小标宋简体"/>
      <w:kern w:val="0"/>
      <w:sz w:val="24"/>
      <w:szCs w:val="24"/>
    </w:rPr>
  </w:style>
  <w:style w:type="character" w:customStyle="1" w:styleId="11">
    <w:name w:val="页眉 字符"/>
    <w:basedOn w:val="8"/>
    <w:link w:val="6"/>
    <w:qFormat/>
    <w:uiPriority w:val="99"/>
    <w:rPr>
      <w:sz w:val="18"/>
      <w:szCs w:val="18"/>
    </w:rPr>
  </w:style>
  <w:style w:type="character" w:customStyle="1" w:styleId="12">
    <w:name w:val="页脚 字符"/>
    <w:basedOn w:val="8"/>
    <w:link w:val="5"/>
    <w:qFormat/>
    <w:uiPriority w:val="99"/>
    <w:rPr>
      <w:sz w:val="18"/>
      <w:szCs w:val="18"/>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3150</Words>
  <Characters>5525</Characters>
  <Lines>82</Lines>
  <Paragraphs>23</Paragraphs>
  <TotalTime>21</TotalTime>
  <ScaleCrop>false</ScaleCrop>
  <LinksUpToDate>false</LinksUpToDate>
  <CharactersWithSpaces>5549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2023-08-11T08:11:00Z</dcterms:created>
  <dc:creator>office</dc:creator>
  <cp:lastModifiedBy>pingzhengkuyunwei02</cp:lastModifiedBy>
  <dcterms:modified xsi:type="dcterms:W3CDTF">2024-08-30T00:52:02Z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A44E0A178634409BBBA50D5636087390_13</vt:lpwstr>
  </property>
</Properties>
</file>