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81" w:rsidRDefault="00774FE0" w:rsidP="00774FE0">
      <w:pPr>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天津市国有划拨土地上房屋转让缴纳</w:t>
      </w:r>
    </w:p>
    <w:p w:rsidR="00774FE0" w:rsidRDefault="00774FE0" w:rsidP="00774FE0">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土地出让金管理办法（征求意见稿）</w:t>
      </w:r>
      <w:bookmarkStart w:id="0" w:name="_GoBack"/>
      <w:bookmarkEnd w:id="0"/>
    </w:p>
    <w:p w:rsidR="00774FE0" w:rsidRDefault="00774FE0" w:rsidP="00774FE0">
      <w:pPr>
        <w:ind w:firstLineChars="200" w:firstLine="640"/>
      </w:pPr>
    </w:p>
    <w:p w:rsidR="00774FE0" w:rsidRDefault="00774FE0" w:rsidP="00774FE0">
      <w:pPr>
        <w:ind w:firstLineChars="200" w:firstLine="640"/>
      </w:pPr>
      <w:r>
        <w:rPr>
          <w:rFonts w:eastAsia="黑体"/>
        </w:rPr>
        <w:t>第一条</w:t>
      </w:r>
      <w:r>
        <w:rPr>
          <w:rFonts w:eastAsia="黑体"/>
        </w:rPr>
        <w:t xml:space="preserve">  </w:t>
      </w:r>
      <w:r>
        <w:t>为规范国有划拨土地上</w:t>
      </w:r>
      <w:r>
        <w:rPr>
          <w:rFonts w:hint="eastAsia"/>
        </w:rPr>
        <w:t>房屋</w:t>
      </w:r>
      <w:r>
        <w:t>转让土地出让金收缴工作，根据《天津市土地管理条例》《天津市城镇私房交易缴纳</w:t>
      </w:r>
      <w:r>
        <w:rPr>
          <w:rFonts w:ascii="Times New Roman"/>
        </w:rPr>
        <w:t>国有土地使用权出让金办法》（津政发〔</w:t>
      </w:r>
      <w:r>
        <w:rPr>
          <w:rFonts w:ascii="Times New Roman"/>
        </w:rPr>
        <w:t>1998</w:t>
      </w:r>
      <w:r>
        <w:rPr>
          <w:rFonts w:ascii="Times New Roman"/>
        </w:rPr>
        <w:t>〕</w:t>
      </w:r>
      <w:r>
        <w:rPr>
          <w:rFonts w:ascii="Times New Roman"/>
        </w:rPr>
        <w:t>45</w:t>
      </w:r>
      <w:r>
        <w:rPr>
          <w:rFonts w:ascii="Times New Roman"/>
        </w:rPr>
        <w:t>号）等有关规</w:t>
      </w:r>
      <w:r>
        <w:t>定，结合本市实际，制定本办法。</w:t>
      </w:r>
    </w:p>
    <w:p w:rsidR="00774FE0" w:rsidRDefault="00774FE0" w:rsidP="00774FE0">
      <w:pPr>
        <w:ind w:firstLineChars="200" w:firstLine="640"/>
      </w:pPr>
      <w:r>
        <w:rPr>
          <w:rFonts w:eastAsia="黑体"/>
        </w:rPr>
        <w:t>第二条</w:t>
      </w:r>
      <w:r>
        <w:rPr>
          <w:rFonts w:eastAsia="黑体"/>
        </w:rPr>
        <w:t xml:space="preserve">  </w:t>
      </w:r>
      <w:r>
        <w:t>本办法所称国有划拨土地上</w:t>
      </w:r>
      <w:r>
        <w:rPr>
          <w:rFonts w:hint="eastAsia"/>
        </w:rPr>
        <w:t>房屋包括</w:t>
      </w:r>
      <w:r>
        <w:t>住宅房屋和非住宅房屋。</w:t>
      </w:r>
    </w:p>
    <w:p w:rsidR="00774FE0" w:rsidRDefault="00774FE0" w:rsidP="00774FE0">
      <w:pPr>
        <w:ind w:firstLineChars="200" w:firstLine="640"/>
      </w:pPr>
      <w:r>
        <w:rPr>
          <w:rFonts w:eastAsia="黑体"/>
        </w:rPr>
        <w:t>第三条</w:t>
      </w:r>
      <w:r>
        <w:rPr>
          <w:rFonts w:eastAsia="黑体"/>
        </w:rPr>
        <w:t xml:space="preserve">  </w:t>
      </w:r>
      <w:r>
        <w:t>国有划拨土地上住宅房屋是指在国有划拨土地上建成的平房和单元式楼房（以</w:t>
      </w:r>
      <w:r>
        <w:rPr>
          <w:rFonts w:hint="eastAsia"/>
        </w:rPr>
        <w:t>下简称“住宅房屋”）。不包括在国有划拨土地上建成的独幢式住宅房屋。</w:t>
      </w:r>
    </w:p>
    <w:p w:rsidR="00774FE0" w:rsidRDefault="00774FE0" w:rsidP="00774FE0">
      <w:pPr>
        <w:ind w:firstLineChars="200" w:firstLine="640"/>
      </w:pPr>
      <w:r>
        <w:rPr>
          <w:rFonts w:hint="eastAsia"/>
        </w:rPr>
        <w:t>国有划拨土地上非住宅房屋是指在国有划拨土地上建成的除住宅房屋以外的房屋（以下简称“非住宅房屋”）。</w:t>
      </w:r>
    </w:p>
    <w:p w:rsidR="00774FE0" w:rsidRDefault="00774FE0" w:rsidP="00774FE0">
      <w:pPr>
        <w:ind w:firstLineChars="200" w:firstLine="640"/>
      </w:pPr>
      <w:r>
        <w:rPr>
          <w:rFonts w:eastAsia="黑体" w:hint="eastAsia"/>
        </w:rPr>
        <w:t>第四条</w:t>
      </w:r>
      <w:r>
        <w:rPr>
          <w:rFonts w:eastAsia="黑体"/>
        </w:rPr>
        <w:t xml:space="preserve"> </w:t>
      </w:r>
      <w:r>
        <w:t>住宅房屋因买卖发生转让的，受让人应当按照实际</w:t>
      </w:r>
      <w:r>
        <w:rPr>
          <w:rFonts w:ascii="Times New Roman"/>
        </w:rPr>
        <w:t>成交金额的</w:t>
      </w:r>
      <w:r>
        <w:rPr>
          <w:rFonts w:ascii="Times New Roman"/>
        </w:rPr>
        <w:t>1%</w:t>
      </w:r>
      <w:r>
        <w:rPr>
          <w:rFonts w:ascii="Times New Roman"/>
        </w:rPr>
        <w:t>缴纳土地出让金，每交易一次，缴纳一次土地出让</w:t>
      </w:r>
      <w:r>
        <w:t>金。</w:t>
      </w:r>
      <w:r>
        <w:rPr>
          <w:rFonts w:hint="eastAsia"/>
        </w:rPr>
        <w:t>实际成交价格低于计税依据价格的，按照计税依据价格的1%缴纳。</w:t>
      </w:r>
    </w:p>
    <w:p w:rsidR="00774FE0" w:rsidRDefault="00774FE0" w:rsidP="00774FE0">
      <w:pPr>
        <w:rPr>
          <w:rFonts w:ascii="Times New Roman"/>
        </w:rPr>
      </w:pPr>
      <w:r>
        <w:rPr>
          <w:rFonts w:ascii="黑体" w:eastAsia="黑体" w:hAnsi="黑体" w:cs="黑体" w:hint="eastAsia"/>
        </w:rPr>
        <w:t xml:space="preserve">    </w:t>
      </w:r>
      <w:r>
        <w:t>住宅房屋因赠与发生转让的，应当按照</w:t>
      </w:r>
      <w:r>
        <w:rPr>
          <w:rFonts w:hint="eastAsia"/>
        </w:rPr>
        <w:t>计税依据价格的1%</w:t>
      </w:r>
      <w:r>
        <w:rPr>
          <w:rFonts w:ascii="Times New Roman"/>
        </w:rPr>
        <w:t>缴纳土地出让金。</w:t>
      </w:r>
    </w:p>
    <w:p w:rsidR="00774FE0" w:rsidRDefault="00774FE0" w:rsidP="00774FE0">
      <w:pPr>
        <w:ind w:firstLineChars="200" w:firstLine="640"/>
        <w:rPr>
          <w:rFonts w:ascii="Times New Roman"/>
        </w:rPr>
      </w:pPr>
      <w:r>
        <w:t>住宅房屋因交换发生转让的，转让双方应当按</w:t>
      </w:r>
      <w:r>
        <w:rPr>
          <w:rFonts w:hint="eastAsia"/>
        </w:rPr>
        <w:t>照</w:t>
      </w:r>
      <w:r>
        <w:rPr>
          <w:rFonts w:hAnsi="仿宋_GB2312" w:cs="仿宋_GB2312" w:hint="eastAsia"/>
        </w:rPr>
        <w:t>计税依据</w:t>
      </w:r>
      <w:r>
        <w:rPr>
          <w:rFonts w:hAnsi="仿宋_GB2312" w:cs="仿宋_GB2312" w:hint="eastAsia"/>
        </w:rPr>
        <w:lastRenderedPageBreak/>
        <w:t>价格</w:t>
      </w:r>
      <w:r>
        <w:t>的</w:t>
      </w:r>
      <w:r>
        <w:rPr>
          <w:rFonts w:ascii="Times New Roman"/>
        </w:rPr>
        <w:t>1%</w:t>
      </w:r>
      <w:r>
        <w:rPr>
          <w:rFonts w:ascii="Times New Roman"/>
        </w:rPr>
        <w:t>分别缴纳土地出让金。</w:t>
      </w:r>
    </w:p>
    <w:p w:rsidR="00774FE0" w:rsidRDefault="00774FE0" w:rsidP="00774FE0">
      <w:pPr>
        <w:ind w:firstLineChars="200" w:firstLine="640"/>
      </w:pPr>
      <w:r>
        <w:rPr>
          <w:rFonts w:hint="eastAsia"/>
        </w:rPr>
        <w:t>住宅房屋转让部分份额的，按转让份额部分计收土地出让金。</w:t>
      </w:r>
    </w:p>
    <w:p w:rsidR="00774FE0" w:rsidRDefault="00774FE0" w:rsidP="00774FE0">
      <w:pPr>
        <w:ind w:firstLineChars="200" w:firstLine="640"/>
      </w:pPr>
      <w:r>
        <w:t>各不动产登记经办机构在办理不动产转移登记时，代为收取土地出让金。</w:t>
      </w:r>
    </w:p>
    <w:p w:rsidR="00774FE0" w:rsidRDefault="00774FE0" w:rsidP="00774FE0">
      <w:pPr>
        <w:ind w:firstLineChars="200" w:firstLine="640"/>
      </w:pPr>
      <w:r>
        <w:rPr>
          <w:rFonts w:eastAsia="黑体" w:hint="eastAsia"/>
        </w:rPr>
        <w:t>第五条</w:t>
      </w:r>
      <w:r>
        <w:rPr>
          <w:rFonts w:eastAsia="黑体"/>
        </w:rPr>
        <w:t xml:space="preserve"> </w:t>
      </w:r>
      <w:r>
        <w:t>定向安置经济适用住房首次转让的，</w:t>
      </w:r>
      <w:r>
        <w:rPr>
          <w:rFonts w:hAnsi="仿宋_GB2312" w:cs="仿宋_GB2312" w:hint="eastAsia"/>
        </w:rPr>
        <w:t>以及住宅房屋因继承、离婚发生转让的，</w:t>
      </w:r>
      <w:r>
        <w:t>暂不缴纳土地出让金</w:t>
      </w:r>
      <w:r>
        <w:rPr>
          <w:rFonts w:hint="eastAsia"/>
        </w:rPr>
        <w:t>。</w:t>
      </w:r>
      <w:r>
        <w:t>再次转让的按照本办法第四条的规定办理。</w:t>
      </w:r>
    </w:p>
    <w:p w:rsidR="00774FE0" w:rsidRDefault="00774FE0" w:rsidP="00774FE0">
      <w:r>
        <w:rPr>
          <w:rFonts w:hint="eastAsia"/>
        </w:rPr>
        <w:t xml:space="preserve">    </w:t>
      </w:r>
      <w:r>
        <w:rPr>
          <w:rFonts w:eastAsia="黑体"/>
        </w:rPr>
        <w:t>第六条</w:t>
      </w:r>
      <w:r>
        <w:rPr>
          <w:rFonts w:eastAsia="黑体"/>
        </w:rPr>
        <w:t xml:space="preserve">  </w:t>
      </w:r>
      <w:r>
        <w:t>住宅房屋转让，涉及缴纳土地出让金的，在办理不动产</w:t>
      </w:r>
      <w:r>
        <w:rPr>
          <w:rFonts w:hint="eastAsia"/>
        </w:rPr>
        <w:t>转移登记时，《不动产权证书》“权利性质”栏中土地部分对应内容记载为“出让”，</w:t>
      </w:r>
      <w:proofErr w:type="gramStart"/>
      <w:r>
        <w:rPr>
          <w:rFonts w:hint="eastAsia"/>
        </w:rPr>
        <w:t>“使用期限”栏</w:t>
      </w:r>
      <w:r>
        <w:rPr>
          <w:rFonts w:ascii="Times New Roman" w:hint="eastAsia"/>
        </w:rPr>
        <w:t>从</w:t>
      </w:r>
      <w:r>
        <w:t>首次</w:t>
      </w:r>
      <w:proofErr w:type="gramEnd"/>
      <w:r>
        <w:t>缴纳土地出让金时点</w:t>
      </w:r>
      <w:r>
        <w:rPr>
          <w:rFonts w:ascii="Times New Roman"/>
        </w:rPr>
        <w:t>起</w:t>
      </w:r>
      <w:r>
        <w:rPr>
          <w:rFonts w:ascii="Times New Roman" w:hint="eastAsia"/>
        </w:rPr>
        <w:t>，按法定最高出让年限</w:t>
      </w:r>
      <w:r>
        <w:rPr>
          <w:rFonts w:ascii="Times New Roman"/>
        </w:rPr>
        <w:t>计</w:t>
      </w:r>
      <w:r>
        <w:rPr>
          <w:rFonts w:ascii="Times New Roman" w:hint="eastAsia"/>
        </w:rPr>
        <w:t>算</w:t>
      </w:r>
      <w:r>
        <w:rPr>
          <w:rFonts w:ascii="Times New Roman"/>
        </w:rPr>
        <w:t>，并记</w:t>
      </w:r>
      <w:r>
        <w:rPr>
          <w:rFonts w:ascii="Times New Roman" w:hint="eastAsia"/>
        </w:rPr>
        <w:t>载“</w:t>
      </w:r>
      <w:r>
        <w:rPr>
          <w:rFonts w:ascii="Times New Roman"/>
        </w:rPr>
        <w:t>自</w:t>
      </w:r>
      <w:r>
        <w:rPr>
          <w:rFonts w:ascii="Times New Roman"/>
        </w:rPr>
        <w:t>X</w:t>
      </w:r>
      <w:r>
        <w:rPr>
          <w:rFonts w:ascii="Times New Roman"/>
        </w:rPr>
        <w:t>年</w:t>
      </w:r>
      <w:r>
        <w:rPr>
          <w:rFonts w:ascii="Times New Roman"/>
        </w:rPr>
        <w:t>X</w:t>
      </w:r>
      <w:r>
        <w:rPr>
          <w:rFonts w:ascii="Times New Roman"/>
        </w:rPr>
        <w:t>月</w:t>
      </w:r>
      <w:r>
        <w:rPr>
          <w:rFonts w:ascii="Times New Roman"/>
        </w:rPr>
        <w:t>X</w:t>
      </w:r>
      <w:r>
        <w:rPr>
          <w:rFonts w:ascii="Times New Roman"/>
        </w:rPr>
        <w:t>日至</w:t>
      </w:r>
      <w:r>
        <w:rPr>
          <w:rFonts w:ascii="Times New Roman"/>
        </w:rPr>
        <w:t>X</w:t>
      </w:r>
      <w:r>
        <w:rPr>
          <w:rFonts w:ascii="Times New Roman"/>
        </w:rPr>
        <w:t>年</w:t>
      </w:r>
      <w:r>
        <w:rPr>
          <w:rFonts w:ascii="Times New Roman"/>
        </w:rPr>
        <w:t>X</w:t>
      </w:r>
      <w:r>
        <w:rPr>
          <w:rFonts w:ascii="Times New Roman"/>
        </w:rPr>
        <w:t>月</w:t>
      </w:r>
      <w:r>
        <w:rPr>
          <w:rFonts w:ascii="Times New Roman"/>
        </w:rPr>
        <w:t>X</w:t>
      </w:r>
      <w:r>
        <w:rPr>
          <w:rFonts w:ascii="Times New Roman"/>
        </w:rPr>
        <w:t>日</w:t>
      </w:r>
      <w:r>
        <w:rPr>
          <w:rFonts w:ascii="Times New Roman" w:hint="eastAsia"/>
        </w:rPr>
        <w:t>”，</w:t>
      </w:r>
      <w:r>
        <w:rPr>
          <w:rFonts w:hint="eastAsia"/>
        </w:rPr>
        <w:t>“附记”栏注记“私房补交土地出让金”；再次转让的，上述记载</w:t>
      </w:r>
      <w:r>
        <w:t>内容不变。</w:t>
      </w:r>
    </w:p>
    <w:p w:rsidR="00774FE0" w:rsidRDefault="00774FE0" w:rsidP="00774FE0">
      <w:pPr>
        <w:ind w:firstLineChars="200" w:firstLine="640"/>
        <w:rPr>
          <w:rFonts w:ascii="Times New Roman"/>
        </w:rPr>
      </w:pPr>
      <w:r>
        <w:rPr>
          <w:rFonts w:eastAsia="黑体"/>
        </w:rPr>
        <w:t>第七条</w:t>
      </w:r>
      <w:r>
        <w:rPr>
          <w:rFonts w:eastAsia="黑体"/>
        </w:rPr>
        <w:t xml:space="preserve">  </w:t>
      </w:r>
      <w:r>
        <w:t>独幢式住宅房屋和非住宅房屋因买卖、赠与、继承等发生转让的，申请人应当向房屋所在区规划和自然资源</w:t>
      </w:r>
      <w:r>
        <w:rPr>
          <w:rFonts w:hint="eastAsia"/>
        </w:rPr>
        <w:t>主管部门</w:t>
      </w:r>
      <w:r>
        <w:t>申请办理土地有偿使用手续后，再向各不动产</w:t>
      </w:r>
      <w:r>
        <w:rPr>
          <w:rFonts w:ascii="Times New Roman"/>
        </w:rPr>
        <w:t>登记经办机构申请办理不动产登记手续。</w:t>
      </w:r>
    </w:p>
    <w:p w:rsidR="00774FE0" w:rsidRDefault="00774FE0" w:rsidP="00774FE0">
      <w:pPr>
        <w:ind w:firstLineChars="200" w:firstLine="640"/>
        <w:rPr>
          <w:rFonts w:ascii="Times New Roman"/>
        </w:rPr>
      </w:pPr>
      <w:r>
        <w:rPr>
          <w:rFonts w:ascii="Times New Roman"/>
        </w:rPr>
        <w:t>在办理土地有偿使用手续时，应当根据评估结果</w:t>
      </w:r>
      <w:r>
        <w:rPr>
          <w:rFonts w:ascii="Times New Roman" w:hint="eastAsia"/>
        </w:rPr>
        <w:t>确定</w:t>
      </w:r>
      <w:r>
        <w:rPr>
          <w:rFonts w:ascii="Times New Roman"/>
        </w:rPr>
        <w:t>出让底价，出让底价不得低于市场价格的</w:t>
      </w:r>
      <w:r>
        <w:rPr>
          <w:rFonts w:ascii="Times New Roman"/>
        </w:rPr>
        <w:t>30%</w:t>
      </w:r>
      <w:r>
        <w:rPr>
          <w:rFonts w:ascii="Times New Roman"/>
        </w:rPr>
        <w:t>。</w:t>
      </w:r>
    </w:p>
    <w:p w:rsidR="00774FE0" w:rsidRDefault="00774FE0" w:rsidP="00774FE0">
      <w:pPr>
        <w:ind w:firstLineChars="200" w:firstLine="640"/>
        <w:rPr>
          <w:rFonts w:ascii="Times New Roman"/>
        </w:rPr>
      </w:pPr>
      <w:r>
        <w:rPr>
          <w:rFonts w:ascii="Times New Roman"/>
        </w:rPr>
        <w:t>利用地下空间建设的项目，涉及缴纳土地出让金的，土地出让金按地上市场价格的</w:t>
      </w:r>
      <w:r>
        <w:rPr>
          <w:rFonts w:ascii="Times New Roman"/>
        </w:rPr>
        <w:t>15%</w:t>
      </w:r>
      <w:r>
        <w:rPr>
          <w:rFonts w:ascii="Times New Roman"/>
        </w:rPr>
        <w:t>缴纳。</w:t>
      </w:r>
    </w:p>
    <w:p w:rsidR="00774FE0" w:rsidRDefault="00774FE0" w:rsidP="00774FE0">
      <w:pPr>
        <w:ind w:firstLineChars="200" w:firstLine="640"/>
        <w:rPr>
          <w:rFonts w:ascii="Times New Roman"/>
        </w:rPr>
      </w:pPr>
      <w:r>
        <w:rPr>
          <w:rFonts w:ascii="黑体" w:eastAsia="黑体" w:hAnsi="黑体" w:cs="黑体" w:hint="eastAsia"/>
        </w:rPr>
        <w:lastRenderedPageBreak/>
        <w:t xml:space="preserve">第八条 </w:t>
      </w:r>
      <w:r>
        <w:rPr>
          <w:rFonts w:ascii="Times New Roman" w:hint="eastAsia"/>
        </w:rPr>
        <w:t xml:space="preserve"> </w:t>
      </w:r>
      <w:r>
        <w:rPr>
          <w:rFonts w:ascii="Times New Roman" w:hint="eastAsia"/>
        </w:rPr>
        <w:t>本办法实施前已按</w:t>
      </w:r>
      <w:r>
        <w:rPr>
          <w:rFonts w:ascii="Times New Roman"/>
        </w:rPr>
        <w:t>成交金额的</w:t>
      </w:r>
      <w:r>
        <w:rPr>
          <w:rFonts w:ascii="Times New Roman"/>
        </w:rPr>
        <w:t>1%</w:t>
      </w:r>
      <w:r>
        <w:rPr>
          <w:rFonts w:ascii="Times New Roman"/>
        </w:rPr>
        <w:t>缴纳土地出让金</w:t>
      </w:r>
      <w:r>
        <w:rPr>
          <w:rFonts w:ascii="Times New Roman" w:hint="eastAsia"/>
        </w:rPr>
        <w:t>，符合第七条情形的，此前缴纳的土地出让金可以核减。</w:t>
      </w:r>
      <w:r>
        <w:rPr>
          <w:rFonts w:ascii="Times New Roman" w:hint="eastAsia"/>
        </w:rPr>
        <w:t xml:space="preserve"> </w:t>
      </w:r>
    </w:p>
    <w:p w:rsidR="00774FE0" w:rsidRDefault="00774FE0" w:rsidP="00774FE0">
      <w:pPr>
        <w:ind w:firstLineChars="200" w:firstLine="640"/>
        <w:rPr>
          <w:rFonts w:ascii="Times New Roman"/>
        </w:rPr>
      </w:pPr>
      <w:r>
        <w:rPr>
          <w:rFonts w:eastAsia="黑体" w:hint="eastAsia"/>
        </w:rPr>
        <w:t>第九条</w:t>
      </w:r>
      <w:r>
        <w:rPr>
          <w:rFonts w:eastAsia="黑体"/>
        </w:rPr>
        <w:t xml:space="preserve"> </w:t>
      </w:r>
      <w:r>
        <w:t>房屋权利人未取得土地权属证书，需办理土地有偿</w:t>
      </w:r>
      <w:r>
        <w:rPr>
          <w:rFonts w:ascii="Times New Roman"/>
        </w:rPr>
        <w:t>使用手续的，区规划和自然资源</w:t>
      </w:r>
      <w:r>
        <w:rPr>
          <w:rFonts w:ascii="Times New Roman" w:hint="eastAsia"/>
        </w:rPr>
        <w:t>主管部门</w:t>
      </w:r>
      <w:r>
        <w:rPr>
          <w:rFonts w:ascii="Times New Roman"/>
        </w:rPr>
        <w:t>根据登记</w:t>
      </w:r>
      <w:r>
        <w:rPr>
          <w:rFonts w:ascii="Times New Roman" w:hint="eastAsia"/>
        </w:rPr>
        <w:t>簿</w:t>
      </w:r>
      <w:r>
        <w:rPr>
          <w:rFonts w:ascii="Times New Roman"/>
        </w:rPr>
        <w:t>查询结果和房屋买卖协议为申请人办理土地有偿使用手续。</w:t>
      </w:r>
    </w:p>
    <w:p w:rsidR="00774FE0" w:rsidRDefault="00774FE0" w:rsidP="00774FE0">
      <w:pPr>
        <w:ind w:firstLineChars="200" w:firstLine="640"/>
        <w:rPr>
          <w:rFonts w:ascii="Times New Roman"/>
        </w:rPr>
      </w:pPr>
      <w:r>
        <w:rPr>
          <w:rFonts w:ascii="黑体" w:eastAsia="黑体" w:hAnsi="黑体" w:cs="黑体" w:hint="eastAsia"/>
        </w:rPr>
        <w:t>第十条</w:t>
      </w:r>
      <w:r>
        <w:rPr>
          <w:rFonts w:ascii="Times New Roman" w:hint="eastAsia"/>
        </w:rPr>
        <w:t xml:space="preserve">  </w:t>
      </w:r>
      <w:r>
        <w:rPr>
          <w:rFonts w:ascii="Times New Roman" w:hint="eastAsia"/>
        </w:rPr>
        <w:t>住宅、非住宅房屋在国有企业、行政事业单位之间划转的，按相关规定办理。</w:t>
      </w:r>
    </w:p>
    <w:p w:rsidR="00774FE0" w:rsidRDefault="00774FE0" w:rsidP="00774FE0">
      <w:pPr>
        <w:ind w:firstLineChars="200" w:firstLine="640"/>
        <w:rPr>
          <w:rFonts w:ascii="Times New Roman"/>
        </w:rPr>
      </w:pPr>
      <w:r>
        <w:rPr>
          <w:rFonts w:eastAsia="黑体"/>
        </w:rPr>
        <w:t>第</w:t>
      </w:r>
      <w:r>
        <w:rPr>
          <w:rFonts w:eastAsia="黑体" w:hint="eastAsia"/>
        </w:rPr>
        <w:t>十一</w:t>
      </w:r>
      <w:r>
        <w:rPr>
          <w:rFonts w:eastAsia="黑体"/>
        </w:rPr>
        <w:t>条</w:t>
      </w:r>
      <w:r>
        <w:rPr>
          <w:rFonts w:ascii="Times New Roman"/>
        </w:rPr>
        <w:t xml:space="preserve">  </w:t>
      </w:r>
      <w:r>
        <w:rPr>
          <w:rFonts w:ascii="Times New Roman"/>
        </w:rPr>
        <w:t>本办法自</w:t>
      </w:r>
      <w:r>
        <w:rPr>
          <w:rFonts w:ascii="Times New Roman"/>
        </w:rPr>
        <w:t>202</w:t>
      </w:r>
      <w:r>
        <w:rPr>
          <w:rFonts w:ascii="Times New Roman" w:hint="eastAsia"/>
        </w:rPr>
        <w:t>5</w:t>
      </w:r>
      <w:r>
        <w:rPr>
          <w:rFonts w:ascii="Times New Roman"/>
        </w:rPr>
        <w:t>年</w:t>
      </w:r>
      <w:r>
        <w:rPr>
          <w:rFonts w:ascii="Times New Roman" w:hint="eastAsia"/>
        </w:rPr>
        <w:t xml:space="preserve"> </w:t>
      </w:r>
      <w:r>
        <w:rPr>
          <w:rFonts w:ascii="Times New Roman"/>
        </w:rPr>
        <w:t>月</w:t>
      </w:r>
      <w:r>
        <w:rPr>
          <w:rFonts w:ascii="Times New Roman" w:hint="eastAsia"/>
        </w:rPr>
        <w:t xml:space="preserve"> </w:t>
      </w:r>
      <w:r>
        <w:rPr>
          <w:rFonts w:ascii="Times New Roman"/>
        </w:rPr>
        <w:t>日起施行，</w:t>
      </w:r>
      <w:r>
        <w:rPr>
          <w:rFonts w:ascii="Times New Roman" w:hint="eastAsia"/>
        </w:rPr>
        <w:t>有效期</w:t>
      </w:r>
      <w:r>
        <w:rPr>
          <w:rFonts w:ascii="Times New Roman" w:hint="eastAsia"/>
        </w:rPr>
        <w:t>5</w:t>
      </w:r>
      <w:r>
        <w:rPr>
          <w:rFonts w:ascii="Times New Roman" w:hint="eastAsia"/>
        </w:rPr>
        <w:t>年</w:t>
      </w:r>
      <w:r>
        <w:rPr>
          <w:rFonts w:ascii="Times New Roman"/>
        </w:rPr>
        <w:t>。</w:t>
      </w:r>
    </w:p>
    <w:p w:rsidR="00774FE0" w:rsidRDefault="00774FE0" w:rsidP="00774FE0">
      <w:pPr>
        <w:rPr>
          <w:szCs w:val="32"/>
        </w:rPr>
      </w:pPr>
    </w:p>
    <w:p w:rsidR="00B80225" w:rsidRPr="00774FE0" w:rsidRDefault="00B80225"/>
    <w:sectPr w:rsidR="00B80225" w:rsidRPr="00774FE0">
      <w:footerReference w:type="even" r:id="rId7"/>
      <w:footerReference w:type="default" r:id="rId8"/>
      <w:pgSz w:w="11906" w:h="16838"/>
      <w:pgMar w:top="1701" w:right="1418" w:bottom="1985" w:left="1758" w:header="567" w:footer="1588" w:gutter="0"/>
      <w:cols w:space="720"/>
      <w:docGrid w:type="lines" w:linePitch="59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97" w:rsidRDefault="004A7697" w:rsidP="00774FE0">
      <w:r>
        <w:separator/>
      </w:r>
    </w:p>
  </w:endnote>
  <w:endnote w:type="continuationSeparator" w:id="0">
    <w:p w:rsidR="004A7697" w:rsidRDefault="004A7697" w:rsidP="0077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EFF" w:usb1="4000785B"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86" w:rsidRDefault="00921A9E">
    <w:pPr>
      <w:pStyle w:val="a4"/>
      <w:rPr>
        <w:rFonts w:ascii="宋体" w:eastAsia="宋体" w:hAnsi="宋体"/>
        <w:sz w:val="28"/>
        <w:szCs w:val="28"/>
      </w:rPr>
    </w:pPr>
    <w:r>
      <w:rPr>
        <w:rFonts w:ascii="宋体" w:eastAsia="宋体" w:hAnsi="宋体" w:hint="eastAsia"/>
        <w:color w:val="FFFFFF"/>
        <w:kern w:val="0"/>
        <w:sz w:val="28"/>
        <w:szCs w:val="28"/>
      </w:rPr>
      <w:t>空</w:t>
    </w: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Pr>
        <w:rFonts w:ascii="宋体" w:eastAsia="宋体" w:hAnsi="宋体"/>
        <w:noProof/>
        <w:kern w:val="0"/>
        <w:sz w:val="28"/>
        <w:szCs w:val="28"/>
      </w:rPr>
      <w:t>2</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86" w:rsidRDefault="00921A9E">
    <w:pPr>
      <w:pStyle w:val="a4"/>
      <w:jc w:val="right"/>
      <w:rPr>
        <w:rFonts w:ascii="宋体" w:eastAsia="宋体" w:hAnsi="宋体"/>
        <w:color w:val="FFFFFF"/>
        <w:sz w:val="28"/>
        <w:szCs w:val="28"/>
      </w:rPr>
    </w:pP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sidR="003A2281">
      <w:rPr>
        <w:rFonts w:ascii="宋体" w:eastAsia="宋体" w:hAnsi="宋体"/>
        <w:noProof/>
        <w:kern w:val="0"/>
        <w:sz w:val="28"/>
        <w:szCs w:val="28"/>
      </w:rPr>
      <w:t>1</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r>
      <w:rPr>
        <w:rFonts w:ascii="宋体" w:eastAsia="宋体" w:hAnsi="宋体" w:hint="eastAsia"/>
        <w:color w:val="FFFFFF"/>
        <w:kern w:val="0"/>
        <w:sz w:val="28"/>
        <w:szCs w:val="28"/>
      </w:rPr>
      <w:t>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97" w:rsidRDefault="004A7697" w:rsidP="00774FE0">
      <w:r>
        <w:separator/>
      </w:r>
    </w:p>
  </w:footnote>
  <w:footnote w:type="continuationSeparator" w:id="0">
    <w:p w:rsidR="004A7697" w:rsidRDefault="004A7697" w:rsidP="0077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C9"/>
    <w:rsid w:val="003521C9"/>
    <w:rsid w:val="003A2281"/>
    <w:rsid w:val="004A7697"/>
    <w:rsid w:val="00774FE0"/>
    <w:rsid w:val="00921A9E"/>
    <w:rsid w:val="00A735D2"/>
    <w:rsid w:val="00B80225"/>
    <w:rsid w:val="00E2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E0"/>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4F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4FE0"/>
    <w:rPr>
      <w:sz w:val="18"/>
      <w:szCs w:val="18"/>
    </w:rPr>
  </w:style>
  <w:style w:type="paragraph" w:styleId="a4">
    <w:name w:val="footer"/>
    <w:basedOn w:val="a"/>
    <w:link w:val="Char0"/>
    <w:unhideWhenUsed/>
    <w:rsid w:val="00774F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74F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E0"/>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4F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4FE0"/>
    <w:rPr>
      <w:sz w:val="18"/>
      <w:szCs w:val="18"/>
    </w:rPr>
  </w:style>
  <w:style w:type="paragraph" w:styleId="a4">
    <w:name w:val="footer"/>
    <w:basedOn w:val="a"/>
    <w:link w:val="Char0"/>
    <w:unhideWhenUsed/>
    <w:rsid w:val="00774F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74F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2025-03-06T09:53:00Z</dcterms:created>
  <dcterms:modified xsi:type="dcterms:W3CDTF">2025-03-06T09:53:00Z</dcterms:modified>
</cp:coreProperties>
</file>