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滨海新区民用建筑规划设计管理</w:t>
      </w:r>
    </w:p>
    <w:p>
      <w:pPr>
        <w:keepNext w:val="0"/>
        <w:keepLines w:val="0"/>
        <w:pageBreakBefore w:val="0"/>
        <w:widowControl w:val="0"/>
        <w:kinsoku/>
        <w:wordWrap/>
        <w:overflowPunct/>
        <w:topLinePunct w:val="0"/>
        <w:autoSpaceDE w:val="0"/>
        <w:autoSpaceDN w:val="0"/>
        <w:bidi w:val="0"/>
        <w:adjustRightInd w:val="0"/>
        <w:snapToGrid/>
        <w:spacing w:line="58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创新指导意见</w:t>
      </w:r>
    </w:p>
    <w:p>
      <w:pPr>
        <w:pStyle w:val="2"/>
        <w:keepNext w:val="0"/>
        <w:keepLines w:val="0"/>
        <w:pageBreakBefore w:val="0"/>
        <w:widowControl w:val="0"/>
        <w:kinsoku/>
        <w:wordWrap/>
        <w:overflowPunct/>
        <w:topLinePunct w:val="0"/>
        <w:bidi w:val="0"/>
        <w:snapToGrid/>
        <w:spacing w:line="580" w:lineRule="exact"/>
        <w:jc w:val="center"/>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kern w:val="0"/>
          <w:sz w:val="28"/>
          <w:szCs w:val="28"/>
          <w:lang w:eastAsia="zh-CN"/>
        </w:rPr>
        <w:t>（征求意见稿）</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为深入贯彻习近平总书记提出的“坚持以人民为中心的发展思想，坚持人民城市为人民”重要理念，全面落实</w:t>
      </w:r>
      <w:r>
        <w:rPr>
          <w:rFonts w:ascii="仿宋" w:hAnsi="仿宋" w:eastAsia="仿宋"/>
          <w:kern w:val="0"/>
          <w:sz w:val="32"/>
          <w:szCs w:val="32"/>
        </w:rPr>
        <w:t>天津市第十二次党代会有关要求</w:t>
      </w:r>
      <w:r>
        <w:rPr>
          <w:rFonts w:hint="eastAsia" w:ascii="仿宋" w:hAnsi="仿宋" w:eastAsia="仿宋"/>
          <w:kern w:val="0"/>
          <w:sz w:val="32"/>
          <w:szCs w:val="32"/>
        </w:rPr>
        <w:t>，以高质量发展、高水平改革开放、高效能治理、高品质生活为导向，以精准规划、精品建设、精细化管理、精美环境为原则，根据《滨海新区条例》鼓励在土地、城乡规划等方面管理创新和先行先试的有关规定，以惠民利民为宗旨，推动“滨城芯”“滨海湾”“滨河岸”集聚发展和城市更新快速落地，将公交导向、绿色低碳、开放活力社区等理念融入规划设计创新举措，全力打造宜业宜居、活力创新、特色鲜明的美丽“滨城”。</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在借鉴北京、深圳等城市的规划管理经验基础上</w:t>
      </w:r>
      <w:r>
        <w:rPr>
          <w:rFonts w:ascii="仿宋" w:hAnsi="仿宋" w:eastAsia="仿宋"/>
          <w:kern w:val="0"/>
          <w:sz w:val="32"/>
          <w:szCs w:val="32"/>
        </w:rPr>
        <w:t>,</w:t>
      </w:r>
      <w:r>
        <w:rPr>
          <w:rFonts w:hint="eastAsia" w:ascii="仿宋" w:hAnsi="仿宋" w:eastAsia="仿宋"/>
          <w:kern w:val="0"/>
          <w:sz w:val="32"/>
          <w:szCs w:val="32"/>
        </w:rPr>
        <w:t>结合滨海新区实际情况，制定《滨海新区民用建筑规划设计管理创新指导意见》（以下简称《意见》）。</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02" w:firstLineChars="200"/>
        <w:rPr>
          <w:rFonts w:ascii="黑体" w:hAnsi="黑体" w:eastAsia="黑体"/>
          <w:bCs/>
          <w:sz w:val="24"/>
        </w:rPr>
      </w:pPr>
      <w:r>
        <w:rPr>
          <w:rFonts w:hint="eastAsia" w:ascii="仿宋" w:hAnsi="仿宋" w:eastAsia="仿宋" w:cs="黑体"/>
          <w:b/>
          <w:sz w:val="30"/>
          <w:szCs w:val="30"/>
        </w:rPr>
        <w:t>一</w:t>
      </w:r>
      <w:r>
        <w:rPr>
          <w:rFonts w:hint="eastAsia" w:ascii="仿宋" w:hAnsi="仿宋" w:eastAsia="仿宋"/>
          <w:b/>
          <w:kern w:val="0"/>
          <w:sz w:val="32"/>
          <w:szCs w:val="32"/>
        </w:rPr>
        <w:t>、倡导以公共交通为导向的城市空间发展模式和城市用地高效复合利用，围绕轨道交通站点集聚城市功能，适度提高站点周边土地开发强度，地上地下整体开发，打造紧凑集约、运行高效的城市发展格局。</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（一）允许滨海新区轨道站点周边</w:t>
      </w:r>
      <w:r>
        <w:rPr>
          <w:rFonts w:ascii="仿宋" w:hAnsi="仿宋" w:eastAsia="仿宋"/>
          <w:kern w:val="0"/>
          <w:sz w:val="32"/>
          <w:szCs w:val="32"/>
        </w:rPr>
        <w:t>1</w:t>
      </w:r>
      <w:r>
        <w:rPr>
          <w:rFonts w:hint="eastAsia" w:ascii="仿宋" w:hAnsi="仿宋" w:eastAsia="仿宋"/>
          <w:kern w:val="0"/>
          <w:sz w:val="32"/>
          <w:szCs w:val="32"/>
        </w:rPr>
        <w:t>公里范围内的城市更新项目、TOD</w:t>
      </w:r>
      <w:r>
        <w:rPr>
          <w:rFonts w:ascii="仿宋" w:hAnsi="仿宋" w:eastAsia="仿宋"/>
          <w:kern w:val="0"/>
          <w:sz w:val="32"/>
          <w:szCs w:val="32"/>
        </w:rPr>
        <w:t>开发项目</w:t>
      </w:r>
      <w:r>
        <w:rPr>
          <w:rFonts w:hint="eastAsia" w:ascii="仿宋" w:hAnsi="仿宋" w:eastAsia="仿宋"/>
          <w:kern w:val="0"/>
          <w:sz w:val="32"/>
          <w:szCs w:val="32"/>
        </w:rPr>
        <w:t>（尤其地铁上盖综合开发项目）、和城市标志节点土地混合开发利用，建设指标根据实际需求合理确定。</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在控制性详细规划和城市设计编制中，居住街坊用地容积率、建筑密度、建筑高度可按照《城市居住区规划设计标准》（</w:t>
      </w:r>
      <w:r>
        <w:rPr>
          <w:rFonts w:ascii="仿宋" w:hAnsi="仿宋" w:eastAsia="仿宋"/>
          <w:kern w:val="0"/>
          <w:sz w:val="32"/>
          <w:szCs w:val="32"/>
        </w:rPr>
        <w:t>GB50180-2018</w:t>
      </w:r>
      <w:r>
        <w:rPr>
          <w:rFonts w:hint="eastAsia" w:ascii="仿宋" w:hAnsi="仿宋" w:eastAsia="仿宋"/>
          <w:kern w:val="0"/>
          <w:sz w:val="32"/>
          <w:szCs w:val="32"/>
        </w:rPr>
        <w:t>）有关要求进行适度优化和修正</w:t>
      </w:r>
      <w:r>
        <w:rPr>
          <w:rFonts w:ascii="仿宋" w:hAnsi="仿宋" w:eastAsia="仿宋"/>
          <w:kern w:val="0"/>
          <w:sz w:val="32"/>
          <w:szCs w:val="32"/>
        </w:rPr>
        <w:t>(</w:t>
      </w:r>
      <w:r>
        <w:rPr>
          <w:rFonts w:hint="eastAsia" w:ascii="仿宋" w:hAnsi="仿宋" w:eastAsia="仿宋"/>
          <w:kern w:val="0"/>
          <w:sz w:val="32"/>
          <w:szCs w:val="32"/>
        </w:rPr>
        <w:t>见附表</w:t>
      </w:r>
      <w:r>
        <w:rPr>
          <w:rFonts w:ascii="仿宋" w:hAnsi="仿宋" w:eastAsia="仿宋"/>
          <w:kern w:val="0"/>
          <w:sz w:val="32"/>
          <w:szCs w:val="32"/>
        </w:rPr>
        <w:t>)</w:t>
      </w:r>
      <w:r>
        <w:rPr>
          <w:rFonts w:hint="eastAsia" w:ascii="仿宋" w:hAnsi="仿宋" w:eastAsia="仿宋"/>
          <w:kern w:val="0"/>
          <w:sz w:val="32"/>
          <w:szCs w:val="32"/>
        </w:rPr>
        <w:t>，经专家充分论证必要性后，以及经城市消防、建设等管理部门同意后，依程序报请滨海新区政府审批后实施。</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建筑高度80米以上高层住宅建筑、100米以上高层公共建筑，建设单位应当组织设计单位在建筑设计方案阶段征求消防救援机构意见，确保其符合高层建筑消防规范及救援要求。滨海新区严格限制新建</w:t>
      </w:r>
      <w:r>
        <w:rPr>
          <w:rFonts w:ascii="仿宋" w:hAnsi="仿宋" w:eastAsia="仿宋"/>
          <w:kern w:val="0"/>
          <w:sz w:val="32"/>
          <w:szCs w:val="32"/>
        </w:rPr>
        <w:t>250</w:t>
      </w:r>
      <w:r>
        <w:rPr>
          <w:rFonts w:hint="eastAsia" w:ascii="仿宋" w:hAnsi="仿宋" w:eastAsia="仿宋"/>
          <w:kern w:val="0"/>
          <w:sz w:val="32"/>
          <w:szCs w:val="32"/>
        </w:rPr>
        <w:t>米以上超高层建筑。</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ascii="仿宋" w:hAnsi="仿宋" w:eastAsia="仿宋"/>
          <w:kern w:val="0"/>
          <w:sz w:val="32"/>
          <w:szCs w:val="32"/>
        </w:rPr>
        <w:drawing>
          <wp:anchor distT="0" distB="0" distL="114300" distR="114300" simplePos="0" relativeHeight="251659264" behindDoc="0" locked="0" layoutInCell="1" allowOverlap="1">
            <wp:simplePos x="0" y="0"/>
            <wp:positionH relativeFrom="margin">
              <wp:posOffset>645795</wp:posOffset>
            </wp:positionH>
            <wp:positionV relativeFrom="paragraph">
              <wp:posOffset>111760</wp:posOffset>
            </wp:positionV>
            <wp:extent cx="3938270" cy="4187825"/>
            <wp:effectExtent l="0" t="0" r="5080" b="317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38270" cy="4187825"/>
                    </a:xfrm>
                    <a:prstGeom prst="rect">
                      <a:avLst/>
                    </a:prstGeom>
                    <a:noFill/>
                    <a:ln>
                      <a:noFill/>
                    </a:ln>
                  </pic:spPr>
                </pic:pic>
              </a:graphicData>
            </a:graphic>
          </wp:anchor>
        </w:drawing>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注：附表中公共管理与公共服务设施用地、商业服务业设施用地以及公用设施用地、道路与交通设施用地建筑不包括居住组团或居住街坊应配建公建。</w:t>
      </w:r>
    </w:p>
    <w:p>
      <w:pPr>
        <w:ind w:firstLine="480" w:firstLineChars="200"/>
        <w:rPr>
          <w:rFonts w:ascii="仿宋" w:hAnsi="仿宋" w:eastAsia="仿宋"/>
          <w:kern w:val="0"/>
          <w:sz w:val="32"/>
          <w:szCs w:val="32"/>
        </w:rPr>
      </w:pPr>
      <w:r>
        <w:rPr>
          <w:sz w:val="24"/>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1740535</wp:posOffset>
                </wp:positionV>
                <wp:extent cx="5246370" cy="1828800"/>
                <wp:effectExtent l="4445" t="4445" r="6985" b="14605"/>
                <wp:wrapSquare wrapText="bothSides"/>
                <wp:docPr id="4" name="文本框 4"/>
                <wp:cNvGraphicFramePr/>
                <a:graphic xmlns:a="http://schemas.openxmlformats.org/drawingml/2006/main">
                  <a:graphicData uri="http://schemas.microsoft.com/office/word/2010/wordprocessingShape">
                    <wps:wsp>
                      <wps:cNvSpPr txBox="1"/>
                      <wps:spPr>
                        <a:xfrm>
                          <a:off x="0" y="0"/>
                          <a:ext cx="524637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宋体" w:hAnsi="宋体"/>
                                <w:bCs/>
                                <w:sz w:val="22"/>
                                <w:szCs w:val="22"/>
                              </w:rPr>
                            </w:pPr>
                            <w:r>
                              <w:rPr>
                                <w:rFonts w:hint="eastAsia" w:ascii="宋体" w:hAnsi="宋体"/>
                                <w:bCs/>
                                <w:sz w:val="22"/>
                                <w:szCs w:val="22"/>
                              </w:rPr>
                              <w:t>参考：</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rPr>
                                <w:rFonts w:ascii="宋体" w:hAnsi="宋体"/>
                                <w:bCs/>
                                <w:kern w:val="0"/>
                                <w:sz w:val="22"/>
                                <w:szCs w:val="22"/>
                              </w:rPr>
                            </w:pPr>
                            <w:r>
                              <w:rPr>
                                <w:rFonts w:hint="eastAsia" w:ascii="宋体" w:hAnsi="宋体"/>
                                <w:bCs/>
                                <w:sz w:val="22"/>
                                <w:szCs w:val="22"/>
                              </w:rPr>
                              <w:t>1.</w:t>
                            </w:r>
                            <w:r>
                              <w:rPr>
                                <w:rFonts w:ascii="宋体" w:hAnsi="宋体"/>
                                <w:bCs/>
                                <w:kern w:val="0"/>
                                <w:sz w:val="22"/>
                                <w:szCs w:val="22"/>
                              </w:rPr>
                              <w:t>《天津市控制性详细规划技术规程（试行）》“居住用地基准容积率管控轨道站点周边650</w:t>
                            </w:r>
                            <w:r>
                              <w:rPr>
                                <w:rFonts w:hint="eastAsia" w:ascii="宋体" w:hAnsi="宋体"/>
                                <w:bCs/>
                                <w:kern w:val="0"/>
                                <w:sz w:val="22"/>
                                <w:szCs w:val="22"/>
                              </w:rPr>
                              <w:t>米范围内，中心城区快四环线以内及城市中心地区</w:t>
                            </w:r>
                            <w:r>
                              <w:rPr>
                                <w:rFonts w:ascii="宋体" w:hAnsi="宋体"/>
                                <w:bCs/>
                                <w:kern w:val="0"/>
                                <w:sz w:val="22"/>
                                <w:szCs w:val="22"/>
                              </w:rPr>
                              <w:t>2.5</w:t>
                            </w:r>
                            <w:r>
                              <w:rPr>
                                <w:rFonts w:hint="eastAsia" w:ascii="宋体" w:hAnsi="宋体"/>
                                <w:bCs/>
                                <w:kern w:val="0"/>
                                <w:sz w:val="22"/>
                                <w:szCs w:val="22"/>
                              </w:rPr>
                              <w:t>，其他地区</w:t>
                            </w:r>
                            <w:r>
                              <w:rPr>
                                <w:rFonts w:ascii="宋体" w:hAnsi="宋体"/>
                                <w:bCs/>
                                <w:kern w:val="0"/>
                                <w:sz w:val="22"/>
                                <w:szCs w:val="22"/>
                              </w:rPr>
                              <w:t>2.0</w:t>
                            </w:r>
                            <w:r>
                              <w:rPr>
                                <w:rFonts w:hint="eastAsia" w:ascii="宋体" w:hAnsi="宋体"/>
                                <w:bCs/>
                                <w:kern w:val="0"/>
                                <w:sz w:val="22"/>
                                <w:szCs w:val="22"/>
                              </w:rPr>
                              <w:t>；其他地区参照执行。轨道站点周边</w:t>
                            </w:r>
                            <w:r>
                              <w:rPr>
                                <w:rFonts w:ascii="宋体" w:hAnsi="宋体"/>
                                <w:bCs/>
                                <w:kern w:val="0"/>
                                <w:sz w:val="22"/>
                                <w:szCs w:val="22"/>
                              </w:rPr>
                              <w:t>650</w:t>
                            </w:r>
                            <w:r>
                              <w:rPr>
                                <w:rFonts w:hint="eastAsia" w:ascii="宋体" w:hAnsi="宋体"/>
                                <w:bCs/>
                                <w:kern w:val="0"/>
                                <w:sz w:val="22"/>
                                <w:szCs w:val="22"/>
                              </w:rPr>
                              <w:t>米范围外：中心城区快四环线以内及城市中心地区</w:t>
                            </w:r>
                            <w:r>
                              <w:rPr>
                                <w:rFonts w:ascii="宋体" w:hAnsi="宋体"/>
                                <w:bCs/>
                                <w:kern w:val="0"/>
                                <w:sz w:val="22"/>
                                <w:szCs w:val="22"/>
                              </w:rPr>
                              <w:t>2.0</w:t>
                            </w:r>
                            <w:r>
                              <w:rPr>
                                <w:rFonts w:hint="eastAsia" w:ascii="宋体" w:hAnsi="宋体"/>
                                <w:bCs/>
                                <w:kern w:val="0"/>
                                <w:sz w:val="22"/>
                                <w:szCs w:val="22"/>
                              </w:rPr>
                              <w:t>，其他地区</w:t>
                            </w:r>
                            <w:r>
                              <w:rPr>
                                <w:rFonts w:ascii="宋体" w:hAnsi="宋体"/>
                                <w:bCs/>
                                <w:kern w:val="0"/>
                                <w:sz w:val="22"/>
                                <w:szCs w:val="22"/>
                              </w:rPr>
                              <w:t>1.6</w:t>
                            </w:r>
                            <w:r>
                              <w:rPr>
                                <w:rFonts w:hint="eastAsia" w:ascii="宋体" w:hAnsi="宋体"/>
                                <w:bCs/>
                                <w:kern w:val="0"/>
                                <w:sz w:val="22"/>
                                <w:szCs w:val="22"/>
                              </w:rPr>
                              <w:t>；其他区域参照执行。”</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rPr>
                                <w:rFonts w:ascii="宋体" w:hAnsi="宋体"/>
                                <w:bCs/>
                                <w:kern w:val="0"/>
                                <w:sz w:val="22"/>
                                <w:szCs w:val="22"/>
                              </w:rPr>
                            </w:pPr>
                            <w:r>
                              <w:rPr>
                                <w:rFonts w:hint="eastAsia" w:ascii="宋体" w:hAnsi="宋体"/>
                                <w:bCs/>
                                <w:kern w:val="0"/>
                                <w:sz w:val="22"/>
                                <w:szCs w:val="22"/>
                              </w:rPr>
                              <w:t>2</w:t>
                            </w:r>
                            <w:r>
                              <w:rPr>
                                <w:rFonts w:ascii="宋体" w:hAnsi="宋体"/>
                                <w:bCs/>
                                <w:kern w:val="0"/>
                                <w:sz w:val="22"/>
                                <w:szCs w:val="22"/>
                              </w:rPr>
                              <w:t>.</w:t>
                            </w:r>
                            <w:r>
                              <w:rPr>
                                <w:rFonts w:hint="eastAsia" w:ascii="宋体" w:hAnsi="宋体"/>
                                <w:bCs/>
                                <w:kern w:val="0"/>
                                <w:sz w:val="22"/>
                                <w:szCs w:val="22"/>
                              </w:rPr>
                              <w:t>天津市住房城乡建设委等七部门关于印发《推进天津市轨道交通场站及周边土地综合开发利用实施意见（试行）的通知》</w:t>
                            </w:r>
                            <w:r>
                              <w:rPr>
                                <w:rFonts w:ascii="宋体" w:hAnsi="宋体"/>
                                <w:bCs/>
                                <w:kern w:val="0"/>
                                <w:sz w:val="22"/>
                                <w:szCs w:val="22"/>
                              </w:rPr>
                              <w:t>“加强轨道交通场站及周边土地的综合开发规划与轨道交通线网规划、建设规划的衔接，加大开发强度，形成集该质量商业、优质住宅等多种业态为一体的综合性区域。</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rPr>
                                <w:rFonts w:ascii="宋体" w:hAnsi="宋体"/>
                                <w:bCs/>
                                <w:kern w:val="0"/>
                                <w:sz w:val="22"/>
                                <w:szCs w:val="22"/>
                              </w:rPr>
                            </w:pPr>
                            <w:r>
                              <w:rPr>
                                <w:rFonts w:hint="eastAsia" w:ascii="宋体" w:hAnsi="宋体"/>
                                <w:bCs/>
                                <w:kern w:val="0"/>
                                <w:sz w:val="22"/>
                                <w:szCs w:val="22"/>
                              </w:rPr>
                              <w:t>3.《天津市高层建筑消防安全管理规定》“</w:t>
                            </w:r>
                            <w:r>
                              <w:rPr>
                                <w:rFonts w:ascii="宋体" w:hAnsi="宋体"/>
                                <w:bCs/>
                                <w:kern w:val="0"/>
                                <w:sz w:val="22"/>
                                <w:szCs w:val="22"/>
                              </w:rPr>
                              <w:t>第</w:t>
                            </w:r>
                            <w:r>
                              <w:rPr>
                                <w:rFonts w:hint="eastAsia" w:ascii="宋体" w:hAnsi="宋体"/>
                                <w:bCs/>
                                <w:kern w:val="0"/>
                                <w:sz w:val="22"/>
                                <w:szCs w:val="22"/>
                              </w:rPr>
                              <w:t>六</w:t>
                            </w:r>
                            <w:r>
                              <w:rPr>
                                <w:rFonts w:ascii="宋体" w:hAnsi="宋体"/>
                                <w:bCs/>
                                <w:kern w:val="0"/>
                                <w:sz w:val="22"/>
                                <w:szCs w:val="22"/>
                              </w:rPr>
                              <w:t>条</w:t>
                            </w:r>
                            <w:r>
                              <w:rPr>
                                <w:rFonts w:hint="eastAsia" w:ascii="宋体" w:hAnsi="宋体"/>
                                <w:bCs/>
                                <w:kern w:val="0"/>
                                <w:sz w:val="22"/>
                                <w:szCs w:val="22"/>
                              </w:rPr>
                              <w:t>【超高层建筑消防要求】　对于建筑高度超过100米的高层建筑，有关单位应当应用物联网和智能化技术手段对电气、燃气消防安全和消防设施运行等进行监控和预警，实行更加严格的消防安全管理。规划和自然资源部门审批建筑高度80米以上高层住宅建筑、100米以上高层公共建筑建设项目时，应征求同级消防救援机构意见，确保其消防供水、消防通信、消防通道、消防车登高操作场地、属地消防救援站实力等能够满足该项目灭火和应急救援任务需求。”）</w:t>
                            </w:r>
                          </w:p>
                          <w:p>
                            <w:pPr>
                              <w:ind w:firstLine="440" w:firstLineChars="200"/>
                              <w:rPr>
                                <w:rFonts w:ascii="宋体" w:hAnsi="宋体"/>
                                <w:kern w:val="0"/>
                                <w:sz w:val="22"/>
                                <w:szCs w:val="22"/>
                              </w:rPr>
                            </w:pPr>
                            <w:r>
                              <w:rPr>
                                <w:rFonts w:ascii="宋体" w:hAnsi="宋体"/>
                                <w:kern w:val="0"/>
                                <w:sz w:val="22"/>
                                <w:szCs w:val="22"/>
                              </w:rPr>
                              <w:t>4.</w:t>
                            </w:r>
                            <w:r>
                              <w:rPr>
                                <w:rFonts w:hint="eastAsia" w:ascii="宋体" w:hAnsi="宋体"/>
                                <w:kern w:val="0"/>
                                <w:sz w:val="22"/>
                                <w:szCs w:val="22"/>
                              </w:rPr>
                              <w:t>《天津市人民政府办公厅关于印发天津市规划用地兼容性管理暂行规定的通知》第八条在满足规划及相关配置标准规定的配套设施基础上，鼓励建设用地中兼容不超过地上总建筑规模</w:t>
                            </w:r>
                            <w:r>
                              <w:rPr>
                                <w:rFonts w:ascii="宋体" w:hAnsi="宋体"/>
                                <w:kern w:val="0"/>
                                <w:sz w:val="22"/>
                                <w:szCs w:val="22"/>
                              </w:rPr>
                              <w:t>15</w:t>
                            </w:r>
                            <w:r>
                              <w:rPr>
                                <w:rFonts w:hint="eastAsia" w:ascii="宋体" w:hAnsi="宋体"/>
                                <w:kern w:val="0"/>
                                <w:sz w:val="22"/>
                                <w:szCs w:val="22"/>
                              </w:rPr>
                              <w:t>％的社区公益性设施、公用设施、道路与交通设施，相关建设内容由所在区人民政府或市级行业主管部门认定其公益性后，所兼容的社区公益性设施、公用设施、道路与交通设施可不纳入建设用地容积率计算。</w:t>
                            </w:r>
                          </w:p>
                          <w:p>
                            <w:pPr>
                              <w:ind w:firstLine="440" w:firstLineChars="200"/>
                            </w:pPr>
                            <w:r>
                              <w:rPr>
                                <w:rFonts w:ascii="宋体" w:hAnsi="宋体"/>
                                <w:kern w:val="0"/>
                                <w:sz w:val="22"/>
                                <w:szCs w:val="22"/>
                              </w:rPr>
                              <w:t xml:space="preserve">4. </w:t>
                            </w:r>
                            <w:r>
                              <w:rPr>
                                <w:rFonts w:hint="eastAsia" w:ascii="宋体" w:hAnsi="宋体"/>
                                <w:kern w:val="0"/>
                                <w:sz w:val="22"/>
                                <w:szCs w:val="22"/>
                              </w:rPr>
                              <w:t>《天津市规划用地兼容性管理暂行规定实施细则（试行）》第四条鼓励兼容情形是指为提升城市活力，构建窄路密网城市格局，增加城市配套设施建设而给予不纳入容积率计算、额外增加建设规模的奖励政策。</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9pt;margin-top:137.05pt;height:144pt;width:413.1pt;mso-wrap-distance-bottom:0pt;mso-wrap-distance-left:9pt;mso-wrap-distance-right:9pt;mso-wrap-distance-top:0pt;z-index:251660288;mso-width-relative:page;mso-height-relative:page;" fillcolor="#FFFFFF [3201]" filled="t" stroked="t" coordsize="21600,21600" o:gfxdata="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3&#10;Hs0+2gAAAAoBAAAPAAAAAAAAAAEAIAAAACIAAABkcnMvZG93bnJldi54bWxQSwECFAAUAAAACACH&#10;TuJA3mV8z1sCAAC4BAAADgAAAAAAAAABACAAAAApAQAAZHJzL2Uyb0RvYy54bWxQSwUGAAAAAAYA&#10;BgBZAQAA9gUAAAAA&#10;">
                <v:fill on="t" focussize="0,0"/>
                <v:stroke weight="0.5pt" color="#000000 [3204]" joinstyle="round"/>
                <v:imagedata o:title=""/>
                <o:lock v:ext="edit" aspectratio="f"/>
                <v:textbox style="mso-fit-shape-to-text:t;">
                  <w:txbxContent>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宋体" w:hAnsi="宋体"/>
                          <w:bCs/>
                          <w:sz w:val="22"/>
                          <w:szCs w:val="22"/>
                        </w:rPr>
                      </w:pPr>
                      <w:r>
                        <w:rPr>
                          <w:rFonts w:hint="eastAsia" w:ascii="宋体" w:hAnsi="宋体"/>
                          <w:bCs/>
                          <w:sz w:val="22"/>
                          <w:szCs w:val="22"/>
                        </w:rPr>
                        <w:t>参考：</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rPr>
                          <w:rFonts w:ascii="宋体" w:hAnsi="宋体"/>
                          <w:bCs/>
                          <w:kern w:val="0"/>
                          <w:sz w:val="22"/>
                          <w:szCs w:val="22"/>
                        </w:rPr>
                      </w:pPr>
                      <w:r>
                        <w:rPr>
                          <w:rFonts w:hint="eastAsia" w:ascii="宋体" w:hAnsi="宋体"/>
                          <w:bCs/>
                          <w:sz w:val="22"/>
                          <w:szCs w:val="22"/>
                        </w:rPr>
                        <w:t>1.</w:t>
                      </w:r>
                      <w:r>
                        <w:rPr>
                          <w:rFonts w:ascii="宋体" w:hAnsi="宋体"/>
                          <w:bCs/>
                          <w:kern w:val="0"/>
                          <w:sz w:val="22"/>
                          <w:szCs w:val="22"/>
                        </w:rPr>
                        <w:t>《天津市控制性详细规划技术规程（试行）》“居住用地基准容积率管控轨道站点周边650</w:t>
                      </w:r>
                      <w:r>
                        <w:rPr>
                          <w:rFonts w:hint="eastAsia" w:ascii="宋体" w:hAnsi="宋体"/>
                          <w:bCs/>
                          <w:kern w:val="0"/>
                          <w:sz w:val="22"/>
                          <w:szCs w:val="22"/>
                        </w:rPr>
                        <w:t>米范围内，中心城区快四环线以内及城市中心地区</w:t>
                      </w:r>
                      <w:r>
                        <w:rPr>
                          <w:rFonts w:ascii="宋体" w:hAnsi="宋体"/>
                          <w:bCs/>
                          <w:kern w:val="0"/>
                          <w:sz w:val="22"/>
                          <w:szCs w:val="22"/>
                        </w:rPr>
                        <w:t>2.5</w:t>
                      </w:r>
                      <w:r>
                        <w:rPr>
                          <w:rFonts w:hint="eastAsia" w:ascii="宋体" w:hAnsi="宋体"/>
                          <w:bCs/>
                          <w:kern w:val="0"/>
                          <w:sz w:val="22"/>
                          <w:szCs w:val="22"/>
                        </w:rPr>
                        <w:t>，其他地区</w:t>
                      </w:r>
                      <w:r>
                        <w:rPr>
                          <w:rFonts w:ascii="宋体" w:hAnsi="宋体"/>
                          <w:bCs/>
                          <w:kern w:val="0"/>
                          <w:sz w:val="22"/>
                          <w:szCs w:val="22"/>
                        </w:rPr>
                        <w:t>2.0</w:t>
                      </w:r>
                      <w:r>
                        <w:rPr>
                          <w:rFonts w:hint="eastAsia" w:ascii="宋体" w:hAnsi="宋体"/>
                          <w:bCs/>
                          <w:kern w:val="0"/>
                          <w:sz w:val="22"/>
                          <w:szCs w:val="22"/>
                        </w:rPr>
                        <w:t>；其他地区参照执行。轨道站点周边</w:t>
                      </w:r>
                      <w:r>
                        <w:rPr>
                          <w:rFonts w:ascii="宋体" w:hAnsi="宋体"/>
                          <w:bCs/>
                          <w:kern w:val="0"/>
                          <w:sz w:val="22"/>
                          <w:szCs w:val="22"/>
                        </w:rPr>
                        <w:t>650</w:t>
                      </w:r>
                      <w:r>
                        <w:rPr>
                          <w:rFonts w:hint="eastAsia" w:ascii="宋体" w:hAnsi="宋体"/>
                          <w:bCs/>
                          <w:kern w:val="0"/>
                          <w:sz w:val="22"/>
                          <w:szCs w:val="22"/>
                        </w:rPr>
                        <w:t>米范围外：中心城区快四环线以内及城市中心地区</w:t>
                      </w:r>
                      <w:r>
                        <w:rPr>
                          <w:rFonts w:ascii="宋体" w:hAnsi="宋体"/>
                          <w:bCs/>
                          <w:kern w:val="0"/>
                          <w:sz w:val="22"/>
                          <w:szCs w:val="22"/>
                        </w:rPr>
                        <w:t>2.0</w:t>
                      </w:r>
                      <w:r>
                        <w:rPr>
                          <w:rFonts w:hint="eastAsia" w:ascii="宋体" w:hAnsi="宋体"/>
                          <w:bCs/>
                          <w:kern w:val="0"/>
                          <w:sz w:val="22"/>
                          <w:szCs w:val="22"/>
                        </w:rPr>
                        <w:t>，其他地区</w:t>
                      </w:r>
                      <w:r>
                        <w:rPr>
                          <w:rFonts w:ascii="宋体" w:hAnsi="宋体"/>
                          <w:bCs/>
                          <w:kern w:val="0"/>
                          <w:sz w:val="22"/>
                          <w:szCs w:val="22"/>
                        </w:rPr>
                        <w:t>1.6</w:t>
                      </w:r>
                      <w:r>
                        <w:rPr>
                          <w:rFonts w:hint="eastAsia" w:ascii="宋体" w:hAnsi="宋体"/>
                          <w:bCs/>
                          <w:kern w:val="0"/>
                          <w:sz w:val="22"/>
                          <w:szCs w:val="22"/>
                        </w:rPr>
                        <w:t>；其他区域参照执行。”</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rPr>
                          <w:rFonts w:ascii="宋体" w:hAnsi="宋体"/>
                          <w:bCs/>
                          <w:kern w:val="0"/>
                          <w:sz w:val="22"/>
                          <w:szCs w:val="22"/>
                        </w:rPr>
                      </w:pPr>
                      <w:r>
                        <w:rPr>
                          <w:rFonts w:hint="eastAsia" w:ascii="宋体" w:hAnsi="宋体"/>
                          <w:bCs/>
                          <w:kern w:val="0"/>
                          <w:sz w:val="22"/>
                          <w:szCs w:val="22"/>
                        </w:rPr>
                        <w:t>2</w:t>
                      </w:r>
                      <w:r>
                        <w:rPr>
                          <w:rFonts w:ascii="宋体" w:hAnsi="宋体"/>
                          <w:bCs/>
                          <w:kern w:val="0"/>
                          <w:sz w:val="22"/>
                          <w:szCs w:val="22"/>
                        </w:rPr>
                        <w:t>.</w:t>
                      </w:r>
                      <w:r>
                        <w:rPr>
                          <w:rFonts w:hint="eastAsia" w:ascii="宋体" w:hAnsi="宋体"/>
                          <w:bCs/>
                          <w:kern w:val="0"/>
                          <w:sz w:val="22"/>
                          <w:szCs w:val="22"/>
                        </w:rPr>
                        <w:t>天津市住房城乡建设委等七部门关于印发《推进天津市轨道交通场站及周边土地综合开发利用实施意见（试行）的通知》</w:t>
                      </w:r>
                      <w:r>
                        <w:rPr>
                          <w:rFonts w:ascii="宋体" w:hAnsi="宋体"/>
                          <w:bCs/>
                          <w:kern w:val="0"/>
                          <w:sz w:val="22"/>
                          <w:szCs w:val="22"/>
                        </w:rPr>
                        <w:t>“加强轨道交通场站及周边土地的综合开发规划与轨道交通线网规划、建设规划的衔接，加大开发强度，形成集该质量商业、优质住宅等多种业态为一体的综合性区域。</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rPr>
                          <w:rFonts w:ascii="宋体" w:hAnsi="宋体"/>
                          <w:bCs/>
                          <w:kern w:val="0"/>
                          <w:sz w:val="22"/>
                          <w:szCs w:val="22"/>
                        </w:rPr>
                      </w:pPr>
                      <w:r>
                        <w:rPr>
                          <w:rFonts w:hint="eastAsia" w:ascii="宋体" w:hAnsi="宋体"/>
                          <w:bCs/>
                          <w:kern w:val="0"/>
                          <w:sz w:val="22"/>
                          <w:szCs w:val="22"/>
                        </w:rPr>
                        <w:t>3.《天津市高层建筑消防安全管理规定》“</w:t>
                      </w:r>
                      <w:r>
                        <w:rPr>
                          <w:rFonts w:ascii="宋体" w:hAnsi="宋体"/>
                          <w:bCs/>
                          <w:kern w:val="0"/>
                          <w:sz w:val="22"/>
                          <w:szCs w:val="22"/>
                        </w:rPr>
                        <w:t>第</w:t>
                      </w:r>
                      <w:r>
                        <w:rPr>
                          <w:rFonts w:hint="eastAsia" w:ascii="宋体" w:hAnsi="宋体"/>
                          <w:bCs/>
                          <w:kern w:val="0"/>
                          <w:sz w:val="22"/>
                          <w:szCs w:val="22"/>
                        </w:rPr>
                        <w:t>六</w:t>
                      </w:r>
                      <w:r>
                        <w:rPr>
                          <w:rFonts w:ascii="宋体" w:hAnsi="宋体"/>
                          <w:bCs/>
                          <w:kern w:val="0"/>
                          <w:sz w:val="22"/>
                          <w:szCs w:val="22"/>
                        </w:rPr>
                        <w:t>条</w:t>
                      </w:r>
                      <w:r>
                        <w:rPr>
                          <w:rFonts w:hint="eastAsia" w:ascii="宋体" w:hAnsi="宋体"/>
                          <w:bCs/>
                          <w:kern w:val="0"/>
                          <w:sz w:val="22"/>
                          <w:szCs w:val="22"/>
                        </w:rPr>
                        <w:t>【超高层建筑消防要求】　对于建筑高度超过100米的高层建筑，有关单位应当应用物联网和智能化技术手段对电气、燃气消防安全和消防设施运行等进行监控和预警，实行更加严格的消防安全管理。规划和自然资源部门审批建筑高度80米以上高层住宅建筑、100米以上高层公共建筑建设项目时，应征求同级消防救援机构意见，确保其消防供水、消防通信、消防通道、消防车登高操作场地、属地消防救援站实力等能够满足该项目灭火和应急救援任务需求。”）</w:t>
                      </w:r>
                    </w:p>
                    <w:p>
                      <w:pPr>
                        <w:ind w:firstLine="440" w:firstLineChars="200"/>
                        <w:rPr>
                          <w:rFonts w:ascii="宋体" w:hAnsi="宋体"/>
                          <w:kern w:val="0"/>
                          <w:sz w:val="22"/>
                          <w:szCs w:val="22"/>
                        </w:rPr>
                      </w:pPr>
                      <w:r>
                        <w:rPr>
                          <w:rFonts w:ascii="宋体" w:hAnsi="宋体"/>
                          <w:kern w:val="0"/>
                          <w:sz w:val="22"/>
                          <w:szCs w:val="22"/>
                        </w:rPr>
                        <w:t>4.</w:t>
                      </w:r>
                      <w:r>
                        <w:rPr>
                          <w:rFonts w:hint="eastAsia" w:ascii="宋体" w:hAnsi="宋体"/>
                          <w:kern w:val="0"/>
                          <w:sz w:val="22"/>
                          <w:szCs w:val="22"/>
                        </w:rPr>
                        <w:t>《天津市人民政府办公厅关于印发天津市规划用地兼容性管理暂行规定的通知》第八条在满足规划及相关配置标准规定的配套设施基础上，鼓励建设用地中兼容不超过地上总建筑规模</w:t>
                      </w:r>
                      <w:r>
                        <w:rPr>
                          <w:rFonts w:ascii="宋体" w:hAnsi="宋体"/>
                          <w:kern w:val="0"/>
                          <w:sz w:val="22"/>
                          <w:szCs w:val="22"/>
                        </w:rPr>
                        <w:t>15</w:t>
                      </w:r>
                      <w:r>
                        <w:rPr>
                          <w:rFonts w:hint="eastAsia" w:ascii="宋体" w:hAnsi="宋体"/>
                          <w:kern w:val="0"/>
                          <w:sz w:val="22"/>
                          <w:szCs w:val="22"/>
                        </w:rPr>
                        <w:t>％的社区公益性设施、公用设施、道路与交通设施，相关建设内容由所在区人民政府或市级行业主管部门认定其公益性后，所兼容的社区公益性设施、公用设施、道路与交通设施可不纳入建设用地容积率计算。</w:t>
                      </w:r>
                    </w:p>
                    <w:p>
                      <w:pPr>
                        <w:ind w:firstLine="440" w:firstLineChars="200"/>
                      </w:pPr>
                      <w:r>
                        <w:rPr>
                          <w:rFonts w:ascii="宋体" w:hAnsi="宋体"/>
                          <w:kern w:val="0"/>
                          <w:sz w:val="22"/>
                          <w:szCs w:val="22"/>
                        </w:rPr>
                        <w:t xml:space="preserve">4. </w:t>
                      </w:r>
                      <w:r>
                        <w:rPr>
                          <w:rFonts w:hint="eastAsia" w:ascii="宋体" w:hAnsi="宋体"/>
                          <w:kern w:val="0"/>
                          <w:sz w:val="22"/>
                          <w:szCs w:val="22"/>
                        </w:rPr>
                        <w:t>《天津市规划用地兼容性管理暂行规定实施细则（试行）》第四条鼓励兼容情形是指为提升城市活力，构建窄路密网城市格局，增加城市配套设施建设而给予不纳入容积率计算、额外增加建设规模的奖励政策。</w:t>
                      </w:r>
                    </w:p>
                  </w:txbxContent>
                </v:textbox>
                <w10:wrap type="square"/>
              </v:shape>
            </w:pict>
          </mc:Fallback>
        </mc:AlternateContent>
      </w:r>
      <w:r>
        <w:rPr>
          <w:rFonts w:hint="eastAsia" w:ascii="仿宋" w:hAnsi="仿宋" w:eastAsia="仿宋"/>
          <w:kern w:val="0"/>
          <w:sz w:val="32"/>
          <w:szCs w:val="32"/>
        </w:rPr>
        <w:t>（二）鼓励滨海新区建设项目按照《天津市规划用地兼容性管理暂行规定》相关要求落实规划用地兼容性政策，在合理布局的前提下，规划用地兼容性比例可适度提高至30%（工业用地、物流仓储用地除外）。</w:t>
      </w:r>
    </w:p>
    <w:p>
      <w:pPr>
        <w:pStyle w:val="2"/>
      </w:pPr>
    </w:p>
    <w:p/>
    <w:p>
      <w:pPr>
        <w:pStyle w:val="2"/>
      </w:pP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3" w:firstLineChars="200"/>
        <w:jc w:val="left"/>
        <w:rPr>
          <w:rFonts w:ascii="仿宋" w:hAnsi="仿宋" w:eastAsia="仿宋"/>
          <w:b/>
          <w:kern w:val="0"/>
          <w:sz w:val="32"/>
          <w:szCs w:val="32"/>
        </w:rPr>
      </w:pPr>
      <w:r>
        <w:rPr>
          <w:rFonts w:hint="eastAsia" w:ascii="仿宋" w:hAnsi="仿宋" w:eastAsia="仿宋"/>
          <w:b/>
          <w:kern w:val="0"/>
          <w:sz w:val="32"/>
          <w:szCs w:val="32"/>
        </w:rPr>
        <w:t>二、</w:t>
      </w:r>
      <w:r>
        <w:rPr>
          <w:rFonts w:ascii="仿宋" w:hAnsi="仿宋" w:eastAsia="仿宋"/>
          <w:b/>
          <w:kern w:val="0"/>
          <w:sz w:val="32"/>
          <w:szCs w:val="32"/>
        </w:rPr>
        <w:t>位于自</w:t>
      </w:r>
      <w:r>
        <w:rPr>
          <w:rFonts w:hint="eastAsia" w:ascii="仿宋" w:hAnsi="仿宋" w:eastAsia="仿宋"/>
          <w:b/>
          <w:kern w:val="0"/>
          <w:sz w:val="32"/>
          <w:szCs w:val="32"/>
        </w:rPr>
        <w:t>滨海、</w:t>
      </w:r>
      <w:r>
        <w:rPr>
          <w:rFonts w:ascii="仿宋" w:hAnsi="仿宋" w:eastAsia="仿宋"/>
          <w:b/>
          <w:kern w:val="0"/>
          <w:sz w:val="32"/>
          <w:szCs w:val="32"/>
        </w:rPr>
        <w:t>海河沿线规划绿地城市侧边线起200</w:t>
      </w:r>
      <w:r>
        <w:rPr>
          <w:rFonts w:hint="eastAsia" w:ascii="仿宋" w:hAnsi="仿宋" w:eastAsia="仿宋"/>
          <w:b/>
          <w:kern w:val="0"/>
          <w:sz w:val="32"/>
          <w:szCs w:val="32"/>
        </w:rPr>
        <w:t>米范围的开发项目、划定的城市更新区内建设项目、</w:t>
      </w:r>
      <w:r>
        <w:rPr>
          <w:rFonts w:ascii="仿宋" w:hAnsi="仿宋" w:eastAsia="仿宋"/>
          <w:b/>
          <w:kern w:val="0"/>
          <w:sz w:val="32"/>
          <w:szCs w:val="32"/>
        </w:rPr>
        <w:t>TOD综合开发项目</w:t>
      </w:r>
      <w:r>
        <w:rPr>
          <w:rFonts w:hint="eastAsia" w:ascii="仿宋" w:hAnsi="仿宋" w:eastAsia="仿宋"/>
          <w:b/>
          <w:kern w:val="0"/>
          <w:sz w:val="32"/>
          <w:szCs w:val="32"/>
        </w:rPr>
        <w:t>（地铁上盖开发项目），允许和鼓励通过设置架空平台，营造有利于激发交流互动的场所、具有活力和创新精神的场所、具有参与性和开放共享精神的场所，塑造临海、亲河的滨水城市空间，推动城市更新和地铁站点综合开发。</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开发项目设置架空平台时，应符合以下管理规定。</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（一）容积率计算。架空层面积达到</w:t>
      </w:r>
      <w:r>
        <w:rPr>
          <w:rFonts w:ascii="仿宋" w:hAnsi="仿宋" w:eastAsia="仿宋"/>
          <w:kern w:val="0"/>
          <w:sz w:val="32"/>
          <w:szCs w:val="32"/>
        </w:rPr>
        <w:t>200</w:t>
      </w:r>
      <w:r>
        <w:rPr>
          <w:rFonts w:hint="eastAsia" w:ascii="仿宋" w:hAnsi="仿宋" w:eastAsia="仿宋"/>
          <w:kern w:val="0"/>
          <w:sz w:val="32"/>
          <w:szCs w:val="32"/>
        </w:rPr>
        <w:t>平方米以上或者占所在建筑主体结构水平面积</w:t>
      </w:r>
      <w:r>
        <w:rPr>
          <w:rFonts w:ascii="仿宋" w:hAnsi="仿宋" w:eastAsia="仿宋"/>
          <w:kern w:val="0"/>
          <w:sz w:val="32"/>
          <w:szCs w:val="32"/>
        </w:rPr>
        <w:t>1/3</w:t>
      </w:r>
      <w:r>
        <w:rPr>
          <w:rFonts w:hint="eastAsia" w:ascii="仿宋" w:hAnsi="仿宋" w:eastAsia="仿宋"/>
          <w:kern w:val="0"/>
          <w:sz w:val="32"/>
          <w:szCs w:val="32"/>
        </w:rPr>
        <w:t>以上，以柱、剪力墙落地且净高</w:t>
      </w:r>
      <w:r>
        <w:rPr>
          <w:rFonts w:ascii="仿宋" w:hAnsi="仿宋" w:eastAsia="仿宋"/>
          <w:kern w:val="0"/>
          <w:sz w:val="32"/>
          <w:szCs w:val="32"/>
        </w:rPr>
        <w:t>3</w:t>
      </w:r>
      <w:r>
        <w:rPr>
          <w:rFonts w:hint="eastAsia" w:ascii="仿宋" w:hAnsi="仿宋" w:eastAsia="仿宋"/>
          <w:kern w:val="0"/>
          <w:sz w:val="32"/>
          <w:szCs w:val="32"/>
        </w:rPr>
        <w:t>米以上</w:t>
      </w:r>
      <w:r>
        <w:rPr>
          <w:rFonts w:ascii="仿宋" w:hAnsi="仿宋" w:eastAsia="仿宋"/>
          <w:kern w:val="0"/>
          <w:sz w:val="32"/>
          <w:szCs w:val="32"/>
        </w:rPr>
        <w:t>5</w:t>
      </w:r>
      <w:r>
        <w:rPr>
          <w:rFonts w:hint="eastAsia" w:ascii="仿宋" w:hAnsi="仿宋" w:eastAsia="仿宋"/>
          <w:kern w:val="0"/>
          <w:sz w:val="32"/>
          <w:szCs w:val="32"/>
        </w:rPr>
        <w:t>米以下区域的架空部分以及用于城市交通架空部分，均不计算容积率（建设项目电梯井、门厅、过道等围合部分和利用架空空间设置应建配套设施以及其他法规、文件有特殊要求的除外）。架空层不得擅自封闭，不得随意改变使用功能。</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（二）建筑密度和绿地率的计算。</w:t>
      </w:r>
    </w:p>
    <w:p>
      <w:pPr>
        <w:autoSpaceDE w:val="0"/>
        <w:autoSpaceDN w:val="0"/>
        <w:adjustRightInd w:val="0"/>
        <w:ind w:firstLine="640" w:firstLineChars="200"/>
        <w:jc w:val="left"/>
        <w:rPr>
          <w:rFonts w:ascii="仿宋" w:hAnsi="仿宋" w:eastAsia="仿宋"/>
          <w:kern w:val="0"/>
          <w:sz w:val="32"/>
          <w:szCs w:val="32"/>
        </w:rPr>
      </w:pPr>
      <w:r>
        <w:rPr>
          <w:rFonts w:ascii="仿宋" w:hAnsi="仿宋" w:eastAsia="仿宋"/>
          <w:kern w:val="0"/>
          <w:sz w:val="32"/>
          <w:szCs w:val="32"/>
        </w:rPr>
        <w:t>1.</w:t>
      </w:r>
      <w:r>
        <w:rPr>
          <w:rFonts w:hint="eastAsia" w:ascii="仿宋" w:hAnsi="仿宋" w:eastAsia="仿宋"/>
          <w:kern w:val="0"/>
          <w:sz w:val="32"/>
          <w:szCs w:val="32"/>
        </w:rPr>
        <w:t>建筑底层架空做停车空间、交通空间和公共空间的部分，不计建筑密度，以架空平台上的建筑密度作为项目的建筑密度。</w:t>
      </w:r>
    </w:p>
    <w:p>
      <w:pPr>
        <w:autoSpaceDE w:val="0"/>
        <w:autoSpaceDN w:val="0"/>
        <w:adjustRightInd w:val="0"/>
        <w:ind w:firstLine="640" w:firstLineChars="200"/>
        <w:jc w:val="left"/>
        <w:rPr>
          <w:rFonts w:ascii="仿宋" w:hAnsi="仿宋" w:eastAsia="仿宋"/>
          <w:kern w:val="0"/>
          <w:sz w:val="32"/>
          <w:szCs w:val="32"/>
        </w:rPr>
      </w:pPr>
      <w:r>
        <w:rPr>
          <w:rFonts w:ascii="仿宋" w:hAnsi="仿宋" w:eastAsia="仿宋"/>
          <w:kern w:val="0"/>
          <w:sz w:val="32"/>
          <w:szCs w:val="32"/>
        </w:rPr>
        <w:t>2.</w:t>
      </w:r>
      <w:r>
        <w:rPr>
          <w:rFonts w:hint="eastAsia" w:ascii="仿宋" w:hAnsi="仿宋" w:eastAsia="仿宋"/>
          <w:kern w:val="0"/>
          <w:sz w:val="32"/>
          <w:szCs w:val="32"/>
        </w:rPr>
        <w:t>在满足建筑荷载安全、保温等要求的前提下，规划鼓励对平台顶部进行绿化，平台绿化可折算为一定的绿地率（见下表），并纳入地块绿地率控制指标。</w:t>
      </w:r>
    </w:p>
    <w:p>
      <w:pPr>
        <w:autoSpaceDE w:val="0"/>
        <w:autoSpaceDN w:val="0"/>
        <w:adjustRightInd w:val="0"/>
        <w:ind w:firstLine="200"/>
        <w:jc w:val="left"/>
        <w:rPr>
          <w:rFonts w:ascii="仿宋" w:hAnsi="仿宋" w:eastAsia="仿宋"/>
          <w:kern w:val="0"/>
          <w:sz w:val="32"/>
          <w:szCs w:val="32"/>
        </w:rPr>
      </w:pPr>
      <w:r>
        <w:rPr>
          <w:rFonts w:hint="eastAsia" w:ascii="仿宋" w:hAnsi="仿宋" w:eastAsia="仿宋"/>
          <w:kern w:val="0"/>
          <w:sz w:val="32"/>
          <w:szCs w:val="32"/>
        </w:rPr>
        <w:t>架空平台绿地率折算表</w:t>
      </w:r>
    </w:p>
    <w:tbl>
      <w:tblPr>
        <w:tblStyle w:val="10"/>
        <w:tblW w:w="0" w:type="auto"/>
        <w:tblInd w:w="-5" w:type="dxa"/>
        <w:tblLayout w:type="autofit"/>
        <w:tblCellMar>
          <w:top w:w="0" w:type="dxa"/>
          <w:left w:w="0" w:type="dxa"/>
          <w:bottom w:w="0" w:type="dxa"/>
          <w:right w:w="0" w:type="dxa"/>
        </w:tblCellMar>
      </w:tblPr>
      <w:tblGrid>
        <w:gridCol w:w="1817"/>
        <w:gridCol w:w="2377"/>
        <w:gridCol w:w="2237"/>
        <w:gridCol w:w="1870"/>
      </w:tblGrid>
      <w:tr>
        <w:tblPrEx>
          <w:tblCellMar>
            <w:top w:w="0" w:type="dxa"/>
            <w:left w:w="0" w:type="dxa"/>
            <w:bottom w:w="0" w:type="dxa"/>
            <w:right w:w="0" w:type="dxa"/>
          </w:tblCellMar>
        </w:tblPrEx>
        <w:tc>
          <w:tcPr>
            <w:tcW w:w="1817" w:type="dxa"/>
            <w:tcBorders>
              <w:top w:val="single" w:color="808080" w:sz="4" w:space="0"/>
              <w:left w:val="single" w:color="808080" w:sz="4" w:space="0"/>
              <w:bottom w:val="single" w:color="808080" w:sz="4" w:space="0"/>
              <w:right w:val="single" w:color="808080" w:sz="4" w:space="0"/>
            </w:tcBorders>
          </w:tcPr>
          <w:p>
            <w:pPr>
              <w:autoSpaceDE w:val="0"/>
              <w:autoSpaceDN w:val="0"/>
              <w:adjustRightInd w:val="0"/>
              <w:ind w:firstLine="200"/>
              <w:jc w:val="left"/>
              <w:rPr>
                <w:rFonts w:ascii="仿宋" w:hAnsi="仿宋" w:eastAsia="仿宋"/>
                <w:kern w:val="0"/>
                <w:sz w:val="32"/>
                <w:szCs w:val="32"/>
              </w:rPr>
            </w:pPr>
            <w:r>
              <w:rPr>
                <w:rFonts w:hint="eastAsia" w:ascii="仿宋" w:hAnsi="仿宋" w:eastAsia="仿宋"/>
                <w:kern w:val="0"/>
                <w:sz w:val="32"/>
                <w:szCs w:val="32"/>
              </w:rPr>
              <w:t>覆土厚度</w:t>
            </w:r>
          </w:p>
        </w:tc>
        <w:tc>
          <w:tcPr>
            <w:tcW w:w="2377" w:type="dxa"/>
            <w:tcBorders>
              <w:top w:val="single" w:color="808080" w:sz="4" w:space="0"/>
              <w:left w:val="single" w:color="808080" w:sz="4" w:space="0"/>
              <w:bottom w:val="single" w:color="808080" w:sz="4" w:space="0"/>
              <w:right w:val="single" w:color="808080" w:sz="4" w:space="0"/>
            </w:tcBorders>
          </w:tcPr>
          <w:p>
            <w:pPr>
              <w:autoSpaceDE w:val="0"/>
              <w:autoSpaceDN w:val="0"/>
              <w:adjustRightInd w:val="0"/>
              <w:ind w:firstLine="200"/>
              <w:jc w:val="left"/>
              <w:rPr>
                <w:rFonts w:ascii="仿宋" w:hAnsi="仿宋" w:eastAsia="仿宋"/>
                <w:kern w:val="0"/>
                <w:sz w:val="32"/>
                <w:szCs w:val="32"/>
              </w:rPr>
            </w:pPr>
            <w:r>
              <w:rPr>
                <w:rFonts w:ascii="仿宋" w:hAnsi="仿宋" w:eastAsia="仿宋"/>
                <w:kern w:val="0"/>
                <w:sz w:val="32"/>
                <w:szCs w:val="32"/>
              </w:rPr>
              <w:t>0.5</w:t>
            </w:r>
            <w:r>
              <w:rPr>
                <w:rFonts w:hint="eastAsia" w:ascii="仿宋" w:hAnsi="仿宋" w:eastAsia="仿宋"/>
                <w:kern w:val="0"/>
                <w:sz w:val="32"/>
                <w:szCs w:val="32"/>
              </w:rPr>
              <w:t>米以下</w:t>
            </w:r>
          </w:p>
        </w:tc>
        <w:tc>
          <w:tcPr>
            <w:tcW w:w="2237" w:type="dxa"/>
            <w:tcBorders>
              <w:top w:val="single" w:color="808080" w:sz="4" w:space="0"/>
              <w:left w:val="single" w:color="808080" w:sz="4" w:space="0"/>
              <w:bottom w:val="single" w:color="808080" w:sz="4" w:space="0"/>
              <w:right w:val="single" w:color="808080" w:sz="4" w:space="0"/>
            </w:tcBorders>
          </w:tcPr>
          <w:p>
            <w:pPr>
              <w:autoSpaceDE w:val="0"/>
              <w:autoSpaceDN w:val="0"/>
              <w:adjustRightInd w:val="0"/>
              <w:ind w:firstLine="200"/>
              <w:jc w:val="left"/>
              <w:rPr>
                <w:rFonts w:ascii="仿宋" w:hAnsi="仿宋" w:eastAsia="仿宋"/>
                <w:kern w:val="0"/>
                <w:sz w:val="32"/>
                <w:szCs w:val="32"/>
              </w:rPr>
            </w:pPr>
            <w:r>
              <w:rPr>
                <w:rFonts w:ascii="仿宋" w:hAnsi="仿宋" w:eastAsia="仿宋"/>
                <w:kern w:val="0"/>
                <w:sz w:val="32"/>
                <w:szCs w:val="32"/>
              </w:rPr>
              <w:t>0.5</w:t>
            </w:r>
            <w:r>
              <w:rPr>
                <w:rFonts w:hint="eastAsia" w:ascii="仿宋" w:hAnsi="仿宋" w:eastAsia="仿宋"/>
                <w:kern w:val="0"/>
                <w:sz w:val="32"/>
                <w:szCs w:val="32"/>
              </w:rPr>
              <w:t>米</w:t>
            </w:r>
            <w:r>
              <w:rPr>
                <w:rFonts w:ascii="仿宋" w:hAnsi="仿宋" w:eastAsia="仿宋"/>
                <w:kern w:val="0"/>
                <w:sz w:val="32"/>
                <w:szCs w:val="32"/>
              </w:rPr>
              <w:t>-1.0</w:t>
            </w:r>
            <w:r>
              <w:rPr>
                <w:rFonts w:hint="eastAsia" w:ascii="仿宋" w:hAnsi="仿宋" w:eastAsia="仿宋"/>
                <w:kern w:val="0"/>
                <w:sz w:val="32"/>
                <w:szCs w:val="32"/>
              </w:rPr>
              <w:t>米</w:t>
            </w:r>
          </w:p>
        </w:tc>
        <w:tc>
          <w:tcPr>
            <w:tcW w:w="1870" w:type="dxa"/>
            <w:tcBorders>
              <w:top w:val="single" w:color="808080" w:sz="4" w:space="0"/>
              <w:left w:val="single" w:color="808080" w:sz="4" w:space="0"/>
              <w:bottom w:val="single" w:color="808080" w:sz="4" w:space="0"/>
              <w:right w:val="single" w:color="808080" w:sz="4" w:space="0"/>
            </w:tcBorders>
          </w:tcPr>
          <w:p>
            <w:pPr>
              <w:autoSpaceDE w:val="0"/>
              <w:autoSpaceDN w:val="0"/>
              <w:adjustRightInd w:val="0"/>
              <w:ind w:firstLine="200"/>
              <w:jc w:val="left"/>
              <w:rPr>
                <w:rFonts w:ascii="仿宋" w:hAnsi="仿宋" w:eastAsia="仿宋"/>
                <w:kern w:val="0"/>
                <w:sz w:val="32"/>
                <w:szCs w:val="32"/>
              </w:rPr>
            </w:pPr>
            <w:r>
              <w:rPr>
                <w:rFonts w:ascii="仿宋" w:hAnsi="仿宋" w:eastAsia="仿宋"/>
                <w:kern w:val="0"/>
                <w:sz w:val="32"/>
                <w:szCs w:val="32"/>
              </w:rPr>
              <w:t>1.0</w:t>
            </w:r>
            <w:r>
              <w:rPr>
                <w:rFonts w:hint="eastAsia" w:ascii="仿宋" w:hAnsi="仿宋" w:eastAsia="仿宋"/>
                <w:kern w:val="0"/>
                <w:sz w:val="32"/>
                <w:szCs w:val="32"/>
              </w:rPr>
              <w:t>米以上</w:t>
            </w:r>
          </w:p>
        </w:tc>
      </w:tr>
      <w:tr>
        <w:tblPrEx>
          <w:tblCellMar>
            <w:top w:w="0" w:type="dxa"/>
            <w:left w:w="0" w:type="dxa"/>
            <w:bottom w:w="0" w:type="dxa"/>
            <w:right w:w="0" w:type="dxa"/>
          </w:tblCellMar>
        </w:tblPrEx>
        <w:tc>
          <w:tcPr>
            <w:tcW w:w="1817" w:type="dxa"/>
            <w:tcBorders>
              <w:top w:val="single" w:color="808080" w:sz="4" w:space="0"/>
              <w:left w:val="single" w:color="808080" w:sz="4" w:space="0"/>
              <w:bottom w:val="single" w:color="808080" w:sz="4" w:space="0"/>
              <w:right w:val="single" w:color="808080" w:sz="4" w:space="0"/>
            </w:tcBorders>
          </w:tcPr>
          <w:p>
            <w:pPr>
              <w:autoSpaceDE w:val="0"/>
              <w:autoSpaceDN w:val="0"/>
              <w:adjustRightInd w:val="0"/>
              <w:ind w:firstLine="200"/>
              <w:jc w:val="left"/>
              <w:rPr>
                <w:rFonts w:ascii="仿宋" w:hAnsi="仿宋" w:eastAsia="仿宋"/>
                <w:kern w:val="0"/>
                <w:sz w:val="32"/>
                <w:szCs w:val="32"/>
              </w:rPr>
            </w:pPr>
            <w:r>
              <w:rPr>
                <w:rFonts w:hint="eastAsia" w:ascii="仿宋" w:hAnsi="仿宋" w:eastAsia="仿宋"/>
                <w:kern w:val="0"/>
                <w:sz w:val="32"/>
                <w:szCs w:val="32"/>
              </w:rPr>
              <w:t>折算系数</w:t>
            </w:r>
          </w:p>
        </w:tc>
        <w:tc>
          <w:tcPr>
            <w:tcW w:w="2377" w:type="dxa"/>
            <w:tcBorders>
              <w:top w:val="single" w:color="808080" w:sz="4" w:space="0"/>
              <w:left w:val="single" w:color="808080" w:sz="4" w:space="0"/>
              <w:bottom w:val="single" w:color="808080" w:sz="4" w:space="0"/>
              <w:right w:val="single" w:color="808080" w:sz="4" w:space="0"/>
            </w:tcBorders>
          </w:tcPr>
          <w:p>
            <w:pPr>
              <w:autoSpaceDE w:val="0"/>
              <w:autoSpaceDN w:val="0"/>
              <w:adjustRightInd w:val="0"/>
              <w:ind w:firstLine="200"/>
              <w:jc w:val="left"/>
              <w:rPr>
                <w:rFonts w:ascii="仿宋" w:hAnsi="仿宋" w:eastAsia="仿宋"/>
                <w:kern w:val="0"/>
                <w:sz w:val="32"/>
                <w:szCs w:val="32"/>
              </w:rPr>
            </w:pPr>
            <w:r>
              <w:rPr>
                <w:rFonts w:ascii="仿宋" w:hAnsi="仿宋" w:eastAsia="仿宋"/>
                <w:kern w:val="0"/>
                <w:sz w:val="32"/>
                <w:szCs w:val="32"/>
              </w:rPr>
              <w:t>0.6</w:t>
            </w:r>
          </w:p>
        </w:tc>
        <w:tc>
          <w:tcPr>
            <w:tcW w:w="2237" w:type="dxa"/>
            <w:tcBorders>
              <w:top w:val="single" w:color="808080" w:sz="4" w:space="0"/>
              <w:left w:val="single" w:color="808080" w:sz="4" w:space="0"/>
              <w:bottom w:val="single" w:color="808080" w:sz="4" w:space="0"/>
              <w:right w:val="single" w:color="808080" w:sz="4" w:space="0"/>
            </w:tcBorders>
          </w:tcPr>
          <w:p>
            <w:pPr>
              <w:autoSpaceDE w:val="0"/>
              <w:autoSpaceDN w:val="0"/>
              <w:adjustRightInd w:val="0"/>
              <w:ind w:firstLine="200"/>
              <w:jc w:val="left"/>
              <w:rPr>
                <w:rFonts w:ascii="仿宋" w:hAnsi="仿宋" w:eastAsia="仿宋"/>
                <w:kern w:val="0"/>
                <w:sz w:val="32"/>
                <w:szCs w:val="32"/>
              </w:rPr>
            </w:pPr>
            <w:r>
              <w:rPr>
                <w:rFonts w:ascii="仿宋" w:hAnsi="仿宋" w:eastAsia="仿宋"/>
                <w:kern w:val="0"/>
                <w:sz w:val="32"/>
                <w:szCs w:val="32"/>
              </w:rPr>
              <w:t>0.8</w:t>
            </w:r>
          </w:p>
        </w:tc>
        <w:tc>
          <w:tcPr>
            <w:tcW w:w="1870" w:type="dxa"/>
            <w:tcBorders>
              <w:top w:val="single" w:color="808080" w:sz="4" w:space="0"/>
              <w:left w:val="single" w:color="808080" w:sz="4" w:space="0"/>
              <w:bottom w:val="single" w:color="808080" w:sz="4" w:space="0"/>
              <w:right w:val="single" w:color="808080" w:sz="4" w:space="0"/>
            </w:tcBorders>
          </w:tcPr>
          <w:p>
            <w:pPr>
              <w:autoSpaceDE w:val="0"/>
              <w:autoSpaceDN w:val="0"/>
              <w:adjustRightInd w:val="0"/>
              <w:ind w:firstLine="200"/>
              <w:jc w:val="left"/>
              <w:rPr>
                <w:rFonts w:ascii="仿宋" w:hAnsi="仿宋" w:eastAsia="仿宋"/>
                <w:kern w:val="0"/>
                <w:sz w:val="32"/>
                <w:szCs w:val="32"/>
              </w:rPr>
            </w:pPr>
            <w:r>
              <w:rPr>
                <w:rFonts w:ascii="仿宋" w:hAnsi="仿宋" w:eastAsia="仿宋"/>
                <w:kern w:val="0"/>
                <w:sz w:val="32"/>
                <w:szCs w:val="32"/>
              </w:rPr>
              <w:t>1.0</w:t>
            </w:r>
          </w:p>
        </w:tc>
      </w:tr>
    </w:tbl>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三）项目用地红线内（包括架空层）设置城市活力空间作为市民休闲广场、儿童游乐场、口袋公园等供人活动、交流、休憩的区域，形成两面围合、三面围合以及一定规模的公共空间。其中两面围合空间即街角空间，其有效范围的各边长自所在建筑相邻用地红线开始计算不应小于</w:t>
      </w:r>
      <w:r>
        <w:rPr>
          <w:rFonts w:ascii="仿宋" w:hAnsi="仿宋" w:eastAsia="仿宋"/>
          <w:kern w:val="0"/>
          <w:sz w:val="32"/>
          <w:szCs w:val="32"/>
        </w:rPr>
        <w:t>1</w:t>
      </w:r>
      <w:r>
        <w:rPr>
          <w:rFonts w:hint="eastAsia" w:ascii="仿宋" w:hAnsi="仿宋" w:eastAsia="仿宋"/>
          <w:kern w:val="0"/>
          <w:sz w:val="32"/>
          <w:szCs w:val="32"/>
        </w:rPr>
        <w:t>5</w:t>
      </w:r>
      <w:r>
        <w:rPr>
          <w:rFonts w:ascii="仿宋" w:hAnsi="仿宋" w:eastAsia="仿宋"/>
          <w:kern w:val="0"/>
          <w:sz w:val="32"/>
          <w:szCs w:val="32"/>
        </w:rPr>
        <w:t>m</w:t>
      </w:r>
      <w:r>
        <w:rPr>
          <w:rFonts w:hint="eastAsia" w:ascii="仿宋" w:hAnsi="仿宋" w:eastAsia="仿宋"/>
          <w:kern w:val="0"/>
          <w:sz w:val="32"/>
          <w:szCs w:val="32"/>
        </w:rPr>
        <w:t>，长宽比不大于</w:t>
      </w:r>
      <w:r>
        <w:rPr>
          <w:rFonts w:ascii="仿宋" w:hAnsi="仿宋" w:eastAsia="仿宋"/>
          <w:kern w:val="0"/>
          <w:sz w:val="32"/>
          <w:szCs w:val="32"/>
        </w:rPr>
        <w:t>3</w:t>
      </w:r>
      <w:r>
        <w:rPr>
          <w:rFonts w:hint="eastAsia" w:ascii="仿宋" w:hAnsi="仿宋" w:eastAsia="仿宋"/>
          <w:kern w:val="0"/>
          <w:sz w:val="32"/>
          <w:szCs w:val="32"/>
        </w:rPr>
        <w:t>；三面围合空间的有效范围自所在建筑沿街界面开始计算</w:t>
      </w:r>
      <w:r>
        <w:rPr>
          <w:rFonts w:ascii="仿宋" w:hAnsi="仿宋" w:eastAsia="仿宋"/>
          <w:kern w:val="0"/>
          <w:sz w:val="32"/>
          <w:szCs w:val="32"/>
        </w:rPr>
        <w:t>,</w:t>
      </w:r>
      <w:r>
        <w:rPr>
          <w:rFonts w:hint="eastAsia" w:ascii="仿宋" w:hAnsi="仿宋" w:eastAsia="仿宋"/>
          <w:kern w:val="0"/>
          <w:sz w:val="32"/>
          <w:szCs w:val="32"/>
        </w:rPr>
        <w:t>沿街开口不小于</w:t>
      </w:r>
      <w:r>
        <w:rPr>
          <w:rFonts w:ascii="仿宋" w:hAnsi="仿宋" w:eastAsia="仿宋"/>
          <w:kern w:val="0"/>
          <w:sz w:val="32"/>
          <w:szCs w:val="32"/>
        </w:rPr>
        <w:t>10m</w:t>
      </w:r>
      <w:r>
        <w:rPr>
          <w:rFonts w:hint="eastAsia" w:ascii="仿宋" w:hAnsi="仿宋" w:eastAsia="仿宋"/>
          <w:kern w:val="0"/>
          <w:sz w:val="32"/>
          <w:szCs w:val="32"/>
        </w:rPr>
        <w:t>，进深与开口比例不小于</w:t>
      </w:r>
      <w:r>
        <w:rPr>
          <w:rFonts w:ascii="仿宋" w:hAnsi="仿宋" w:eastAsia="仿宋"/>
          <w:kern w:val="0"/>
          <w:sz w:val="32"/>
          <w:szCs w:val="32"/>
        </w:rPr>
        <w:t>0.5</w:t>
      </w:r>
      <w:r>
        <w:rPr>
          <w:rFonts w:hint="eastAsia" w:ascii="仿宋" w:hAnsi="仿宋" w:eastAsia="仿宋"/>
          <w:kern w:val="0"/>
          <w:sz w:val="32"/>
          <w:szCs w:val="32"/>
        </w:rPr>
        <w:t>，不大于</w:t>
      </w:r>
      <w:r>
        <w:rPr>
          <w:rFonts w:ascii="仿宋" w:hAnsi="仿宋" w:eastAsia="仿宋"/>
          <w:kern w:val="0"/>
          <w:sz w:val="32"/>
          <w:szCs w:val="32"/>
        </w:rPr>
        <w:t>2</w:t>
      </w:r>
      <w:r>
        <w:rPr>
          <w:rFonts w:hint="eastAsia" w:ascii="仿宋" w:hAnsi="仿宋" w:eastAsia="仿宋"/>
          <w:kern w:val="0"/>
          <w:sz w:val="32"/>
          <w:szCs w:val="32"/>
        </w:rPr>
        <w:t>；建设项目向城市提供的短边在</w:t>
      </w:r>
      <w:r>
        <w:rPr>
          <w:rFonts w:ascii="仿宋" w:hAnsi="仿宋" w:eastAsia="仿宋"/>
          <w:kern w:val="0"/>
          <w:sz w:val="32"/>
          <w:szCs w:val="32"/>
        </w:rPr>
        <w:t>15</w:t>
      </w:r>
      <w:r>
        <w:rPr>
          <w:rFonts w:hint="eastAsia" w:ascii="仿宋" w:hAnsi="仿宋" w:eastAsia="仿宋"/>
          <w:kern w:val="0"/>
          <w:sz w:val="32"/>
          <w:szCs w:val="32"/>
        </w:rPr>
        <w:t>米及以上的其他公共开放空间（非交通性道路和</w:t>
      </w:r>
      <w:r>
        <w:rPr>
          <w:rFonts w:ascii="仿宋" w:hAnsi="仿宋" w:eastAsia="仿宋"/>
          <w:kern w:val="0"/>
          <w:sz w:val="32"/>
          <w:szCs w:val="32"/>
        </w:rPr>
        <w:t>停车场</w:t>
      </w:r>
      <w:r>
        <w:rPr>
          <w:rFonts w:hint="eastAsia" w:ascii="仿宋" w:hAnsi="仿宋" w:eastAsia="仿宋"/>
          <w:kern w:val="0"/>
          <w:sz w:val="32"/>
          <w:szCs w:val="32"/>
        </w:rPr>
        <w:t>）；城市公共空间不应作为停车场使用。鼓励架空层按照规划用地兼容性政策结合公共空间设置多用途建筑，增加街道活力。（详见附图一说明）</w:t>
      </w:r>
    </w:p>
    <w:p>
      <w:pPr>
        <w:autoSpaceDE w:val="0"/>
        <w:autoSpaceDN w:val="0"/>
        <w:adjustRightInd w:val="0"/>
        <w:ind w:firstLine="640" w:firstLineChars="200"/>
        <w:jc w:val="left"/>
        <w:rPr>
          <w:rFonts w:ascii="仿宋" w:hAnsi="仿宋" w:eastAsia="仿宋"/>
          <w:kern w:val="0"/>
          <w:sz w:val="32"/>
          <w:szCs w:val="32"/>
        </w:rPr>
      </w:pPr>
      <w:r>
        <w:rPr>
          <w:rFonts w:ascii="仿宋" w:hAnsi="仿宋" w:eastAsia="仿宋"/>
          <w:kern w:val="0"/>
          <w:sz w:val="32"/>
          <w:szCs w:val="32"/>
        </w:rPr>
        <w:t>（四）架空层下方可设置停车场，其区域外轮廓整体投影面积不应大于“（三）”中各类面积总和的1.4</w:t>
      </w:r>
      <w:r>
        <w:rPr>
          <w:rFonts w:hint="eastAsia" w:ascii="仿宋" w:hAnsi="仿宋" w:eastAsia="仿宋"/>
          <w:kern w:val="0"/>
          <w:sz w:val="32"/>
          <w:szCs w:val="32"/>
        </w:rPr>
        <w:t>倍</w:t>
      </w:r>
      <w:r>
        <w:rPr>
          <w:rFonts w:ascii="仿宋" w:hAnsi="仿宋" w:eastAsia="仿宋"/>
          <w:kern w:val="0"/>
          <w:sz w:val="32"/>
          <w:szCs w:val="32"/>
        </w:rPr>
        <w:t>。</w:t>
      </w:r>
      <w:r>
        <w:rPr>
          <w:rFonts w:hint="eastAsia" w:ascii="仿宋" w:hAnsi="仿宋" w:eastAsia="仿宋"/>
          <w:kern w:val="0"/>
          <w:sz w:val="32"/>
          <w:szCs w:val="32"/>
        </w:rPr>
        <w:t>（详见附图二说明）</w:t>
      </w:r>
    </w:p>
    <w:p>
      <w:pPr>
        <w:autoSpaceDE w:val="0"/>
        <w:autoSpaceDN w:val="0"/>
        <w:adjustRightInd w:val="0"/>
        <w:ind w:firstLine="640" w:firstLineChars="200"/>
        <w:jc w:val="left"/>
        <w:rPr>
          <w:rFonts w:ascii="仿宋" w:hAnsi="仿宋" w:eastAsia="仿宋"/>
          <w:kern w:val="0"/>
          <w:sz w:val="32"/>
          <w:szCs w:val="32"/>
        </w:rPr>
      </w:pPr>
      <w:r>
        <w:rPr>
          <w:rFonts w:ascii="仿宋" w:hAnsi="仿宋" w:eastAsia="仿宋"/>
          <w:kern w:val="0"/>
          <w:sz w:val="32"/>
          <w:szCs w:val="32"/>
        </w:rPr>
        <w:t xml:space="preserve">（五）应在用地范围内开放一部分车位作为社会公众停车场使用, </w:t>
      </w:r>
      <w:r>
        <w:rPr>
          <w:rFonts w:hint="eastAsia" w:ascii="仿宋" w:hAnsi="仿宋" w:eastAsia="仿宋"/>
          <w:kern w:val="0"/>
          <w:sz w:val="32"/>
          <w:szCs w:val="32"/>
        </w:rPr>
        <w:t>开放车位应集中布置，且车位数不低于架空层内停车车位数量的</w:t>
      </w:r>
      <w:r>
        <w:rPr>
          <w:rFonts w:ascii="仿宋" w:hAnsi="仿宋" w:eastAsia="仿宋"/>
          <w:kern w:val="0"/>
          <w:sz w:val="32"/>
          <w:szCs w:val="32"/>
        </w:rPr>
        <w:t>10%</w:t>
      </w:r>
      <w:r>
        <w:rPr>
          <w:rFonts w:hint="eastAsia" w:ascii="仿宋" w:hAnsi="仿宋" w:eastAsia="仿宋"/>
          <w:kern w:val="0"/>
          <w:sz w:val="32"/>
          <w:szCs w:val="32"/>
        </w:rPr>
        <w:t>。开放车位数需单独计算，不包括在机动车停车指标中。开放车位应当结合智慧停车指示系统，在面向道路一侧设置便于识别的停车信息电子提示等设施。</w:t>
      </w:r>
    </w:p>
    <w:p>
      <w:pPr>
        <w:autoSpaceDE w:val="0"/>
        <w:autoSpaceDN w:val="0"/>
        <w:adjustRightInd w:val="0"/>
        <w:ind w:firstLine="420" w:firstLineChars="200"/>
        <w:jc w:val="left"/>
        <w:rPr>
          <w:rFonts w:ascii="仿宋" w:hAnsi="仿宋" w:eastAsia="仿宋"/>
          <w:kern w:val="0"/>
          <w:sz w:val="32"/>
          <w:szCs w:val="32"/>
        </w:rPr>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ge">
                  <wp:posOffset>3256280</wp:posOffset>
                </wp:positionV>
                <wp:extent cx="1828800" cy="1828800"/>
                <wp:effectExtent l="0" t="0" r="15240" b="24130"/>
                <wp:wrapSquare wrapText="bothSides"/>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jc w:val="left"/>
                              <w:rPr>
                                <w:rFonts w:ascii="宋体" w:hAnsi="宋体"/>
                                <w:kern w:val="0"/>
                                <w:sz w:val="22"/>
                                <w:szCs w:val="22"/>
                              </w:rPr>
                            </w:pPr>
                            <w:r>
                              <w:rPr>
                                <w:rFonts w:ascii="宋体" w:hAnsi="宋体"/>
                                <w:kern w:val="0"/>
                                <w:sz w:val="22"/>
                                <w:szCs w:val="22"/>
                              </w:rPr>
                              <w:t>参考</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jc w:val="left"/>
                              <w:rPr>
                                <w:rFonts w:ascii="宋体" w:hAnsi="宋体"/>
                                <w:kern w:val="0"/>
                                <w:sz w:val="22"/>
                                <w:szCs w:val="22"/>
                              </w:rPr>
                            </w:pPr>
                            <w:r>
                              <w:rPr>
                                <w:rFonts w:ascii="宋体" w:hAnsi="宋体"/>
                                <w:kern w:val="0"/>
                                <w:sz w:val="22"/>
                                <w:szCs w:val="22"/>
                              </w:rPr>
                              <w:t>1.《</w:t>
                            </w:r>
                            <w:r>
                              <w:rPr>
                                <w:rFonts w:hint="eastAsia" w:ascii="宋体" w:hAnsi="宋体"/>
                                <w:kern w:val="0"/>
                                <w:sz w:val="22"/>
                                <w:szCs w:val="22"/>
                              </w:rPr>
                              <w:t>天津市控制性详细规划技术规程（试行）》</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jc w:val="left"/>
                              <w:rPr>
                                <w:rFonts w:ascii="宋体" w:hAnsi="宋体"/>
                                <w:kern w:val="0"/>
                                <w:sz w:val="22"/>
                                <w:szCs w:val="22"/>
                              </w:rPr>
                            </w:pPr>
                            <w:r>
                              <w:rPr>
                                <w:rFonts w:ascii="宋体" w:hAnsi="宋体"/>
                                <w:kern w:val="0"/>
                                <w:sz w:val="22"/>
                                <w:szCs w:val="22"/>
                              </w:rPr>
                              <w:t xml:space="preserve">2. </w:t>
                            </w:r>
                            <w:r>
                              <w:rPr>
                                <w:rFonts w:hint="eastAsia" w:ascii="宋体" w:hAnsi="宋体"/>
                                <w:kern w:val="0"/>
                                <w:sz w:val="22"/>
                                <w:szCs w:val="22"/>
                              </w:rPr>
                              <w:t>《天津市建筑工程规划管理技术标准（试行）》</w:t>
                            </w:r>
                            <w:r>
                              <w:rPr>
                                <w:rFonts w:ascii="宋体" w:hAnsi="宋体"/>
                                <w:kern w:val="0"/>
                                <w:sz w:val="22"/>
                                <w:szCs w:val="22"/>
                              </w:rPr>
                              <w:t>“居住街坊底层架空做停车库的， 不计建筑密度， 平台上的建筑密度作为项目的建筑密度”。</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jc w:val="left"/>
                              <w:rPr>
                                <w:rFonts w:ascii="宋体" w:hAnsi="宋体"/>
                                <w:kern w:val="0"/>
                                <w:sz w:val="22"/>
                                <w:szCs w:val="22"/>
                              </w:rPr>
                            </w:pPr>
                            <w:r>
                              <w:rPr>
                                <w:rFonts w:ascii="宋体" w:hAnsi="宋体"/>
                                <w:kern w:val="0"/>
                                <w:sz w:val="22"/>
                                <w:szCs w:val="22"/>
                              </w:rPr>
                              <w:t>3.</w:t>
                            </w:r>
                            <w:r>
                              <w:rPr>
                                <w:rFonts w:hint="eastAsia" w:ascii="宋体" w:hAnsi="宋体"/>
                                <w:kern w:val="0"/>
                                <w:sz w:val="22"/>
                                <w:szCs w:val="22"/>
                              </w:rPr>
                              <w:t>《 杭州市建筑层高控制及容积率指标计算规则》（杭规发〔</w:t>
                            </w:r>
                            <w:r>
                              <w:rPr>
                                <w:rFonts w:ascii="宋体" w:hAnsi="宋体"/>
                                <w:kern w:val="0"/>
                                <w:sz w:val="22"/>
                                <w:szCs w:val="22"/>
                              </w:rPr>
                              <w:t>2011</w:t>
                            </w:r>
                            <w:r>
                              <w:rPr>
                                <w:rFonts w:hint="eastAsia" w:ascii="宋体" w:hAnsi="宋体"/>
                                <w:kern w:val="0"/>
                                <w:sz w:val="22"/>
                                <w:szCs w:val="22"/>
                              </w:rPr>
                              <w:t>〕</w:t>
                            </w:r>
                            <w:r>
                              <w:rPr>
                                <w:rFonts w:ascii="宋体" w:hAnsi="宋体"/>
                                <w:kern w:val="0"/>
                                <w:sz w:val="22"/>
                                <w:szCs w:val="22"/>
                              </w:rPr>
                              <w:t>273</w:t>
                            </w:r>
                            <w:r>
                              <w:rPr>
                                <w:rFonts w:hint="eastAsia" w:ascii="宋体" w:hAnsi="宋体"/>
                                <w:kern w:val="0"/>
                                <w:sz w:val="22"/>
                                <w:szCs w:val="22"/>
                              </w:rPr>
                              <w:t>号）</w:t>
                            </w:r>
                            <w:r>
                              <w:rPr>
                                <w:rFonts w:ascii="宋体" w:hAnsi="宋体"/>
                                <w:kern w:val="0"/>
                                <w:sz w:val="22"/>
                                <w:szCs w:val="22"/>
                              </w:rPr>
                              <w:t>“鼓励建筑设底层架空层（含文化、体育、教育等公共建筑）。满足以下条件的底层架空层其建筑面积可不计入地块容积率:</w:t>
                            </w:r>
                            <w:r>
                              <w:rPr>
                                <w:rFonts w:hint="eastAsia" w:ascii="宋体" w:hAnsi="宋体"/>
                                <w:kern w:val="0"/>
                                <w:sz w:val="22"/>
                                <w:szCs w:val="22"/>
                              </w:rPr>
                              <w:t>净高</w:t>
                            </w:r>
                            <w:r>
                              <w:rPr>
                                <w:rFonts w:ascii="宋体" w:hAnsi="宋体"/>
                                <w:kern w:val="0"/>
                                <w:sz w:val="22"/>
                                <w:szCs w:val="22"/>
                              </w:rPr>
                              <w:t>3</w:t>
                            </w:r>
                            <w:r>
                              <w:rPr>
                                <w:rFonts w:hint="eastAsia" w:ascii="宋体" w:hAnsi="宋体"/>
                                <w:kern w:val="0"/>
                                <w:sz w:val="22"/>
                                <w:szCs w:val="22"/>
                              </w:rPr>
                              <w:t>米以上，以柱、剪力墙落地；视线通透，提供相对集中公共空间，一般不应少于主体建筑占地面积的</w:t>
                            </w:r>
                            <w:r>
                              <w:rPr>
                                <w:rFonts w:ascii="宋体" w:hAnsi="宋体"/>
                                <w:kern w:val="0"/>
                                <w:sz w:val="22"/>
                                <w:szCs w:val="22"/>
                              </w:rPr>
                              <w:t>1/3;</w:t>
                            </w:r>
                            <w:r>
                              <w:rPr>
                                <w:rFonts w:hint="eastAsia" w:ascii="宋体" w:hAnsi="宋体"/>
                                <w:kern w:val="0"/>
                                <w:sz w:val="22"/>
                                <w:szCs w:val="22"/>
                              </w:rPr>
                              <w:t>无特定功能</w:t>
                            </w:r>
                            <w:r>
                              <w:rPr>
                                <w:rFonts w:ascii="宋体" w:hAnsi="宋体"/>
                                <w:kern w:val="0"/>
                                <w:sz w:val="22"/>
                                <w:szCs w:val="22"/>
                              </w:rPr>
                              <w:t>,</w:t>
                            </w:r>
                            <w:r>
                              <w:rPr>
                                <w:rFonts w:hint="eastAsia" w:ascii="宋体" w:hAnsi="宋体"/>
                                <w:kern w:val="0"/>
                                <w:sz w:val="22"/>
                                <w:szCs w:val="22"/>
                              </w:rPr>
                              <w:t>只作为公共休闲、交通、绿化等公共开敞空间使用。底层架空层计入建筑层次。其电梯井、门厅、过道等围合部分按实际面积计算容积率。”</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jc w:val="left"/>
                              <w:rPr>
                                <w:rFonts w:ascii="宋体" w:hAnsi="宋体"/>
                                <w:kern w:val="0"/>
                                <w:sz w:val="22"/>
                                <w:szCs w:val="22"/>
                              </w:rPr>
                            </w:pPr>
                            <w:r>
                              <w:rPr>
                                <w:rFonts w:hint="eastAsia" w:ascii="宋体" w:hAnsi="宋体"/>
                                <w:kern w:val="0"/>
                                <w:sz w:val="22"/>
                                <w:szCs w:val="22"/>
                              </w:rPr>
                              <w:t>备注: 架空平台的优惠政策主要是解决长期以来防洪墙与城市地坪的高差形成的靠河不见河的问题，以及城市更新成本过高和交通枢纽一体化设计、建设难的问题。同时也可以通过社会停车捐赠的方式，解决交通枢纽和城市更新区停车难的问题。</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top:256.4pt;height:144pt;width:144pt;mso-position-horizontal:left;mso-position-horizontal-relative:margin;mso-position-vertical-relative:page;mso-wrap-distance-bottom:0pt;mso-wrap-distance-left:9pt;mso-wrap-distance-right:9pt;mso-wrap-distance-top:0pt;mso-wrap-style:none;z-index:251661312;mso-width-relative:page;mso-height-relative:page;" fillcolor="#FFFFFF [3201]" filled="t" stroked="t" coordsize="21600,21600" o:gfxdata="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23J/A1QAAAAgBAAAPAAAA&#10;AAAAAAEAIAAAACIAAABkcnMvZG93bnJldi54bWxQSwECFAAUAAAACACHTuJArelJUVECAAC2BAAA&#10;DgAAAAAAAAABACAAAAAkAQAAZHJzL2Uyb0RvYy54bWxQSwUGAAAAAAYABgBZAQAA5wUAAAAA&#10;">
                <v:fill on="t" focussize="0,0"/>
                <v:stroke weight="0.5pt" color="#000000 [3204]" joinstyle="round"/>
                <v:imagedata o:title=""/>
                <o:lock v:ext="edit" aspectratio="f"/>
                <v:textbox style="mso-fit-shape-to-text:t;">
                  <w:txbxContent>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jc w:val="left"/>
                        <w:rPr>
                          <w:rFonts w:ascii="宋体" w:hAnsi="宋体"/>
                          <w:kern w:val="0"/>
                          <w:sz w:val="22"/>
                          <w:szCs w:val="22"/>
                        </w:rPr>
                      </w:pPr>
                      <w:r>
                        <w:rPr>
                          <w:rFonts w:ascii="宋体" w:hAnsi="宋体"/>
                          <w:kern w:val="0"/>
                          <w:sz w:val="22"/>
                          <w:szCs w:val="22"/>
                        </w:rPr>
                        <w:t>参考</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jc w:val="left"/>
                        <w:rPr>
                          <w:rFonts w:ascii="宋体" w:hAnsi="宋体"/>
                          <w:kern w:val="0"/>
                          <w:sz w:val="22"/>
                          <w:szCs w:val="22"/>
                        </w:rPr>
                      </w:pPr>
                      <w:r>
                        <w:rPr>
                          <w:rFonts w:ascii="宋体" w:hAnsi="宋体"/>
                          <w:kern w:val="0"/>
                          <w:sz w:val="22"/>
                          <w:szCs w:val="22"/>
                        </w:rPr>
                        <w:t>1.《</w:t>
                      </w:r>
                      <w:r>
                        <w:rPr>
                          <w:rFonts w:hint="eastAsia" w:ascii="宋体" w:hAnsi="宋体"/>
                          <w:kern w:val="0"/>
                          <w:sz w:val="22"/>
                          <w:szCs w:val="22"/>
                        </w:rPr>
                        <w:t>天津市控制性详细规划技术规程（试行）》</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jc w:val="left"/>
                        <w:rPr>
                          <w:rFonts w:ascii="宋体" w:hAnsi="宋体"/>
                          <w:kern w:val="0"/>
                          <w:sz w:val="22"/>
                          <w:szCs w:val="22"/>
                        </w:rPr>
                      </w:pPr>
                      <w:r>
                        <w:rPr>
                          <w:rFonts w:ascii="宋体" w:hAnsi="宋体"/>
                          <w:kern w:val="0"/>
                          <w:sz w:val="22"/>
                          <w:szCs w:val="22"/>
                        </w:rPr>
                        <w:t xml:space="preserve">2. </w:t>
                      </w:r>
                      <w:r>
                        <w:rPr>
                          <w:rFonts w:hint="eastAsia" w:ascii="宋体" w:hAnsi="宋体"/>
                          <w:kern w:val="0"/>
                          <w:sz w:val="22"/>
                          <w:szCs w:val="22"/>
                        </w:rPr>
                        <w:t>《天津市建筑工程规划管理技术标准（试行）》</w:t>
                      </w:r>
                      <w:r>
                        <w:rPr>
                          <w:rFonts w:ascii="宋体" w:hAnsi="宋体"/>
                          <w:kern w:val="0"/>
                          <w:sz w:val="22"/>
                          <w:szCs w:val="22"/>
                        </w:rPr>
                        <w:t>“居住街坊底层架空做停车库的， 不计建筑密度， 平台上的建筑密度作为项目的建筑密度”。</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jc w:val="left"/>
                        <w:rPr>
                          <w:rFonts w:ascii="宋体" w:hAnsi="宋体"/>
                          <w:kern w:val="0"/>
                          <w:sz w:val="22"/>
                          <w:szCs w:val="22"/>
                        </w:rPr>
                      </w:pPr>
                      <w:r>
                        <w:rPr>
                          <w:rFonts w:ascii="宋体" w:hAnsi="宋体"/>
                          <w:kern w:val="0"/>
                          <w:sz w:val="22"/>
                          <w:szCs w:val="22"/>
                        </w:rPr>
                        <w:t>3.</w:t>
                      </w:r>
                      <w:r>
                        <w:rPr>
                          <w:rFonts w:hint="eastAsia" w:ascii="宋体" w:hAnsi="宋体"/>
                          <w:kern w:val="0"/>
                          <w:sz w:val="22"/>
                          <w:szCs w:val="22"/>
                        </w:rPr>
                        <w:t>《 杭州市建筑层高控制及容积率指标计算规则》（杭规发〔</w:t>
                      </w:r>
                      <w:r>
                        <w:rPr>
                          <w:rFonts w:ascii="宋体" w:hAnsi="宋体"/>
                          <w:kern w:val="0"/>
                          <w:sz w:val="22"/>
                          <w:szCs w:val="22"/>
                        </w:rPr>
                        <w:t>2011</w:t>
                      </w:r>
                      <w:r>
                        <w:rPr>
                          <w:rFonts w:hint="eastAsia" w:ascii="宋体" w:hAnsi="宋体"/>
                          <w:kern w:val="0"/>
                          <w:sz w:val="22"/>
                          <w:szCs w:val="22"/>
                        </w:rPr>
                        <w:t>〕</w:t>
                      </w:r>
                      <w:r>
                        <w:rPr>
                          <w:rFonts w:ascii="宋体" w:hAnsi="宋体"/>
                          <w:kern w:val="0"/>
                          <w:sz w:val="22"/>
                          <w:szCs w:val="22"/>
                        </w:rPr>
                        <w:t>273</w:t>
                      </w:r>
                      <w:r>
                        <w:rPr>
                          <w:rFonts w:hint="eastAsia" w:ascii="宋体" w:hAnsi="宋体"/>
                          <w:kern w:val="0"/>
                          <w:sz w:val="22"/>
                          <w:szCs w:val="22"/>
                        </w:rPr>
                        <w:t>号）</w:t>
                      </w:r>
                      <w:r>
                        <w:rPr>
                          <w:rFonts w:ascii="宋体" w:hAnsi="宋体"/>
                          <w:kern w:val="0"/>
                          <w:sz w:val="22"/>
                          <w:szCs w:val="22"/>
                        </w:rPr>
                        <w:t>“鼓励建筑设底层架空层（含文化、体育、教育等公共建筑）。满足以下条件的底层架空层其建筑面积可不计入地块容积率:</w:t>
                      </w:r>
                      <w:r>
                        <w:rPr>
                          <w:rFonts w:hint="eastAsia" w:ascii="宋体" w:hAnsi="宋体"/>
                          <w:kern w:val="0"/>
                          <w:sz w:val="22"/>
                          <w:szCs w:val="22"/>
                        </w:rPr>
                        <w:t>净高</w:t>
                      </w:r>
                      <w:r>
                        <w:rPr>
                          <w:rFonts w:ascii="宋体" w:hAnsi="宋体"/>
                          <w:kern w:val="0"/>
                          <w:sz w:val="22"/>
                          <w:szCs w:val="22"/>
                        </w:rPr>
                        <w:t>3</w:t>
                      </w:r>
                      <w:r>
                        <w:rPr>
                          <w:rFonts w:hint="eastAsia" w:ascii="宋体" w:hAnsi="宋体"/>
                          <w:kern w:val="0"/>
                          <w:sz w:val="22"/>
                          <w:szCs w:val="22"/>
                        </w:rPr>
                        <w:t>米以上，以柱、剪力墙落地；视线通透，提供相对集中公共空间，一般不应少于主体建筑占地面积的</w:t>
                      </w:r>
                      <w:r>
                        <w:rPr>
                          <w:rFonts w:ascii="宋体" w:hAnsi="宋体"/>
                          <w:kern w:val="0"/>
                          <w:sz w:val="22"/>
                          <w:szCs w:val="22"/>
                        </w:rPr>
                        <w:t>1/3;</w:t>
                      </w:r>
                      <w:r>
                        <w:rPr>
                          <w:rFonts w:hint="eastAsia" w:ascii="宋体" w:hAnsi="宋体"/>
                          <w:kern w:val="0"/>
                          <w:sz w:val="22"/>
                          <w:szCs w:val="22"/>
                        </w:rPr>
                        <w:t>无特定功能</w:t>
                      </w:r>
                      <w:r>
                        <w:rPr>
                          <w:rFonts w:ascii="宋体" w:hAnsi="宋体"/>
                          <w:kern w:val="0"/>
                          <w:sz w:val="22"/>
                          <w:szCs w:val="22"/>
                        </w:rPr>
                        <w:t>,</w:t>
                      </w:r>
                      <w:r>
                        <w:rPr>
                          <w:rFonts w:hint="eastAsia" w:ascii="宋体" w:hAnsi="宋体"/>
                          <w:kern w:val="0"/>
                          <w:sz w:val="22"/>
                          <w:szCs w:val="22"/>
                        </w:rPr>
                        <w:t>只作为公共休闲、交通、绿化等公共开敞空间使用。底层架空层计入建筑层次。其电梯井、门厅、过道等围合部分按实际面积计算容积率。”</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440" w:firstLineChars="200"/>
                        <w:jc w:val="left"/>
                        <w:rPr>
                          <w:rFonts w:ascii="宋体" w:hAnsi="宋体"/>
                          <w:kern w:val="0"/>
                          <w:sz w:val="22"/>
                          <w:szCs w:val="22"/>
                        </w:rPr>
                      </w:pPr>
                      <w:r>
                        <w:rPr>
                          <w:rFonts w:hint="eastAsia" w:ascii="宋体" w:hAnsi="宋体"/>
                          <w:kern w:val="0"/>
                          <w:sz w:val="22"/>
                          <w:szCs w:val="22"/>
                        </w:rPr>
                        <w:t>备注: 架空平台的优惠政策主要是解决长期以来防洪墙与城市地坪的高差形成的靠河不见河的问题，以及城市更新成本过高和交通枢纽一体化设计、建设难的问题。同时也可以通过社会停车捐赠的方式，解决交通枢纽和城市更新区停车难的问题。</w:t>
                      </w:r>
                    </w:p>
                  </w:txbxContent>
                </v:textbox>
                <w10:wrap type="square"/>
              </v:shape>
            </w:pict>
          </mc:Fallback>
        </mc:AlternateContent>
      </w:r>
      <w:r>
        <w:rPr>
          <w:rFonts w:ascii="仿宋" w:hAnsi="仿宋" w:eastAsia="仿宋"/>
          <w:kern w:val="0"/>
          <w:sz w:val="32"/>
          <w:szCs w:val="32"/>
        </w:rPr>
        <w:t>（六）架空平台下方建筑的立面高度、面宽、进深等应均衡有序，与邻域建筑、城市街道、自然环境相协调；鼓励附属物、架空层与主体及周边环境和谐统一，通过设计手段巧妙遮挡、隐藏建筑设备和停车场等。</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3" w:firstLineChars="200"/>
        <w:jc w:val="left"/>
        <w:rPr>
          <w:rFonts w:ascii="仿宋" w:hAnsi="仿宋" w:eastAsia="仿宋"/>
          <w:kern w:val="0"/>
          <w:sz w:val="32"/>
          <w:szCs w:val="32"/>
        </w:rPr>
      </w:pPr>
      <w:r>
        <w:rPr>
          <w:rFonts w:hint="eastAsia" w:ascii="仿宋" w:hAnsi="仿宋" w:eastAsia="仿宋"/>
          <w:b/>
          <w:kern w:val="0"/>
          <w:sz w:val="32"/>
          <w:szCs w:val="32"/>
        </w:rPr>
        <w:t>三、</w:t>
      </w:r>
      <w:r>
        <w:rPr>
          <w:rFonts w:ascii="仿宋" w:hAnsi="仿宋" w:eastAsia="仿宋"/>
          <w:b/>
          <w:kern w:val="0"/>
          <w:sz w:val="32"/>
          <w:szCs w:val="32"/>
        </w:rPr>
        <w:t>鼓励建筑设计创新,</w:t>
      </w:r>
      <w:r>
        <w:rPr>
          <w:rFonts w:hint="eastAsia" w:ascii="仿宋" w:hAnsi="仿宋" w:eastAsia="仿宋"/>
          <w:b/>
          <w:kern w:val="0"/>
          <w:sz w:val="32"/>
          <w:szCs w:val="32"/>
        </w:rPr>
        <w:t>位于滨河、滨海、以及其它重要的城市开敞空间（如大型水面、</w:t>
      </w:r>
      <w:r>
        <w:rPr>
          <w:rFonts w:ascii="仿宋" w:hAnsi="仿宋" w:eastAsia="仿宋"/>
          <w:b/>
          <w:kern w:val="0"/>
          <w:sz w:val="32"/>
          <w:szCs w:val="32"/>
        </w:rPr>
        <w:t>景观轴线、城市公园、城市迎宾主干道、短边</w:t>
      </w:r>
      <w:r>
        <w:rPr>
          <w:rFonts w:hint="eastAsia" w:ascii="仿宋" w:hAnsi="仿宋" w:eastAsia="仿宋"/>
          <w:b/>
          <w:kern w:val="0"/>
          <w:sz w:val="32"/>
          <w:szCs w:val="32"/>
        </w:rPr>
        <w:t>长</w:t>
      </w:r>
      <w:r>
        <w:rPr>
          <w:rFonts w:ascii="仿宋" w:hAnsi="仿宋" w:eastAsia="仿宋"/>
          <w:b/>
          <w:kern w:val="0"/>
          <w:sz w:val="32"/>
          <w:szCs w:val="32"/>
        </w:rPr>
        <w:t>50</w:t>
      </w:r>
      <w:r>
        <w:rPr>
          <w:rFonts w:hint="eastAsia" w:ascii="仿宋" w:hAnsi="仿宋" w:eastAsia="仿宋"/>
          <w:b/>
          <w:kern w:val="0"/>
          <w:sz w:val="32"/>
          <w:szCs w:val="32"/>
        </w:rPr>
        <w:t>米以上用地面积</w:t>
      </w:r>
      <w:r>
        <w:rPr>
          <w:rFonts w:ascii="仿宋" w:hAnsi="仿宋" w:eastAsia="仿宋"/>
          <w:b/>
          <w:kern w:val="0"/>
          <w:sz w:val="32"/>
          <w:szCs w:val="32"/>
        </w:rPr>
        <w:t>4000</w:t>
      </w:r>
      <w:r>
        <w:rPr>
          <w:rFonts w:hint="eastAsia" w:ascii="仿宋" w:hAnsi="仿宋" w:eastAsia="仿宋"/>
          <w:b/>
          <w:kern w:val="0"/>
          <w:sz w:val="32"/>
          <w:szCs w:val="32"/>
        </w:rPr>
        <w:t>平米以上广场和</w:t>
      </w:r>
      <w:r>
        <w:rPr>
          <w:rFonts w:ascii="仿宋" w:hAnsi="仿宋" w:eastAsia="仿宋"/>
          <w:b/>
          <w:kern w:val="0"/>
          <w:sz w:val="32"/>
          <w:szCs w:val="32"/>
        </w:rPr>
        <w:t>绿地</w:t>
      </w:r>
      <w:r>
        <w:rPr>
          <w:rFonts w:hint="eastAsia" w:ascii="仿宋" w:hAnsi="仿宋" w:eastAsia="仿宋"/>
          <w:b/>
          <w:kern w:val="0"/>
          <w:sz w:val="32"/>
          <w:szCs w:val="32"/>
        </w:rPr>
        <w:t>等</w:t>
      </w:r>
      <w:r>
        <w:rPr>
          <w:rFonts w:ascii="仿宋" w:hAnsi="仿宋" w:eastAsia="仿宋"/>
          <w:b/>
          <w:kern w:val="0"/>
          <w:sz w:val="32"/>
          <w:szCs w:val="32"/>
        </w:rPr>
        <w:t>）民用建筑，通过设置错层、退台等方式设置露台，改善采光和通风条件，优化室外活动空间，丰富城市建筑层次和造型，提升环境体验。</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（一）带露台建筑的设计应符合区域城市设计要求，未编制城市设计的地区，由开发单位组织编制整体策划方案一同报审，统筹设计周边相邻地块风貌，保障建筑空间和形态的错落与协调。</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二）露台应结合建筑的公共部位设置，作为住户共同使用的共享空间。露台设计中，须兼顾安全、美观、绿色、开放等，露台周围需通过种植池等绿化手法，形成屋顶花园，并通过花池（至少但不限于沿屋面外檐设置的花池宽度600mm以上，种植池附土深度不低于300mm，植物种植高度600mm及以上）、护栏等手段确保露台安全，同时应保证良好的视觉通廊和与建筑立面相融合的设计效果；屋顶花园还应设置有吸引力的设施以满足不同人群的需求。此外应通过建筑材料以及形象墙等手法，避免露台活动人群对住户隐私的影响。</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（三）涉及露台项目建设管理单位需维护屋顶绿化保证数量不减少、质量不降低，项目纳入城市监管，由规划及城管委等相关机构定期组织检查。</w:t>
      </w:r>
    </w:p>
    <w:p>
      <w:pPr>
        <w:autoSpaceDE w:val="0"/>
        <w:autoSpaceDN w:val="0"/>
        <w:adjustRightInd w:val="0"/>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四、</w:t>
      </w:r>
      <w:r>
        <w:rPr>
          <w:rFonts w:hint="eastAsia" w:ascii="仿宋" w:hAnsi="仿宋" w:eastAsia="仿宋" w:cs="仿宋_GB2312"/>
          <w:b/>
          <w:bCs/>
          <w:sz w:val="30"/>
          <w:szCs w:val="30"/>
        </w:rPr>
        <w:t>鼓励建筑采用坡屋顶,丰富建筑第五立面, 将建筑屋顶造型与功能相结合。</w:t>
      </w:r>
      <w:r>
        <w:rPr>
          <w:rFonts w:hint="eastAsia" w:ascii="仿宋" w:hAnsi="仿宋" w:eastAsia="仿宋"/>
          <w:b/>
          <w:bCs/>
          <w:kern w:val="0"/>
          <w:sz w:val="32"/>
          <w:szCs w:val="32"/>
        </w:rPr>
        <w:t>满足以下要求的坡屋顶下建筑面积可享受容积率奖励：</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（一）坡屋顶起坡点与楼面垂直距离不大于600mm；</w:t>
      </w:r>
    </w:p>
    <w:p>
      <w:pPr>
        <w:ind w:firstLine="640" w:firstLineChars="200"/>
        <w:jc w:val="left"/>
        <w:rPr>
          <w:rFonts w:ascii="仿宋" w:hAnsi="仿宋" w:eastAsia="仿宋"/>
          <w:kern w:val="0"/>
          <w:sz w:val="32"/>
          <w:szCs w:val="32"/>
        </w:rPr>
      </w:pPr>
      <w:r>
        <w:rPr>
          <w:rFonts w:hint="eastAsia" w:ascii="仿宋" w:hAnsi="仿宋" w:eastAsia="仿宋"/>
          <w:kern w:val="0"/>
          <w:sz w:val="32"/>
          <w:szCs w:val="32"/>
        </w:rPr>
        <w:t>（二）坡屋顶坡度角不大于60°；</w:t>
      </w:r>
    </w:p>
    <w:p>
      <w:pPr>
        <w:ind w:firstLine="640" w:firstLineChars="200"/>
        <w:jc w:val="left"/>
        <w:rPr>
          <w:rFonts w:ascii="仿宋" w:hAnsi="仿宋" w:eastAsia="仿宋"/>
          <w:kern w:val="0"/>
          <w:sz w:val="32"/>
          <w:szCs w:val="32"/>
        </w:rPr>
      </w:pPr>
      <w:r>
        <w:rPr>
          <w:rFonts w:hint="eastAsia" w:ascii="仿宋" w:hAnsi="仿宋" w:eastAsia="仿宋"/>
          <w:kern w:val="0"/>
          <w:sz w:val="32"/>
          <w:szCs w:val="32"/>
        </w:rPr>
        <w:t>（三）屋脊结构下皮距楼面净高不大于4.8m。</w:t>
      </w:r>
    </w:p>
    <w:p>
      <w:pPr>
        <w:ind w:firstLine="640" w:firstLineChars="200"/>
        <w:jc w:val="left"/>
        <w:rPr>
          <w:rFonts w:ascii="仿宋" w:hAnsi="仿宋" w:eastAsia="仿宋"/>
          <w:kern w:val="0"/>
          <w:sz w:val="32"/>
          <w:szCs w:val="32"/>
        </w:rPr>
      </w:pPr>
      <w:r>
        <w:rPr>
          <w:rFonts w:hint="eastAsia" w:ascii="仿宋" w:hAnsi="仿宋" w:eastAsia="仿宋"/>
          <w:kern w:val="0"/>
          <w:sz w:val="32"/>
          <w:szCs w:val="32"/>
        </w:rPr>
        <w:t>享受容积率奖励的建筑面积（以下简称奖励建筑面积）应在建设工程设计方案技术经济指标表和建筑面积计算表中予以明确，不纳入容积率计算。单栋建筑奖励建筑面积不得超过地上该建筑计容建筑面积的20%。奖励建筑面积中超出规划条件的建筑面积需补缴土地出让金，补缴土地出让金按协议出让项目土地出让收益标准收取。（此条</w:t>
      </w:r>
      <w:r>
        <w:rPr>
          <w:sz w:val="3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2018665</wp:posOffset>
                </wp:positionV>
                <wp:extent cx="1828800" cy="1828800"/>
                <wp:effectExtent l="0" t="0" r="15240" b="16510"/>
                <wp:wrapSquare wrapText="bothSides"/>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参考：</w:t>
                            </w:r>
                          </w:p>
                          <w:p>
                            <w:pPr>
                              <w:pStyle w:val="2"/>
                              <w:ind w:firstLine="420" w:firstLineChars="200"/>
                            </w:pPr>
                            <w:r>
                              <w:rPr>
                                <w:rFonts w:hint="eastAsia"/>
                              </w:rPr>
                              <w:t>1.《建筑工程建筑面积计算规范》</w:t>
                            </w:r>
                            <w:r>
                              <w:t>GB/T 50353-2013“形成建筑空间的坡屋顶，结构净高在2</w:t>
                            </w:r>
                            <w:r>
                              <w:rPr>
                                <w:rFonts w:hint="eastAsia"/>
                              </w:rPr>
                              <w:t>．</w:t>
                            </w:r>
                            <w:r>
                              <w:t>10m</w:t>
                            </w:r>
                            <w:r>
                              <w:rPr>
                                <w:rFonts w:hint="eastAsia"/>
                              </w:rPr>
                              <w:t>及以上的部位应计算全面积；结构净高在</w:t>
                            </w:r>
                            <w:r>
                              <w:t>1</w:t>
                            </w:r>
                            <w:r>
                              <w:rPr>
                                <w:rFonts w:hint="eastAsia"/>
                              </w:rPr>
                              <w:t>．</w:t>
                            </w:r>
                            <w:r>
                              <w:t>20m</w:t>
                            </w:r>
                            <w:r>
                              <w:rPr>
                                <w:rFonts w:hint="eastAsia"/>
                              </w:rPr>
                              <w:t>及以上至</w:t>
                            </w:r>
                            <w:r>
                              <w:t>2</w:t>
                            </w:r>
                            <w:r>
                              <w:rPr>
                                <w:rFonts w:hint="eastAsia"/>
                              </w:rPr>
                              <w:t>．</w:t>
                            </w:r>
                            <w:r>
                              <w:t>10m</w:t>
                            </w:r>
                            <w:r>
                              <w:rPr>
                                <w:rFonts w:hint="eastAsia"/>
                              </w:rPr>
                              <w:t>以下的部位应计算</w:t>
                            </w:r>
                            <w:r>
                              <w:t>1/2</w:t>
                            </w:r>
                            <w:r>
                              <w:rPr>
                                <w:rFonts w:hint="eastAsia"/>
                              </w:rPr>
                              <w:t>面积；结构净高在</w:t>
                            </w:r>
                            <w:r>
                              <w:t>1</w:t>
                            </w:r>
                            <w:r>
                              <w:rPr>
                                <w:rFonts w:hint="eastAsia"/>
                              </w:rPr>
                              <w:t>．</w:t>
                            </w:r>
                            <w:r>
                              <w:t>20m</w:t>
                            </w:r>
                            <w:r>
                              <w:rPr>
                                <w:rFonts w:hint="eastAsia"/>
                              </w:rPr>
                              <w:t>以下的部位不应计算建筑面积。”</w:t>
                            </w:r>
                          </w:p>
                          <w:p>
                            <w:pPr>
                              <w:pStyle w:val="2"/>
                              <w:ind w:firstLine="420" w:firstLineChars="200"/>
                            </w:pPr>
                            <w:r>
                              <w:rPr>
                                <w:rFonts w:hint="eastAsia"/>
                              </w:rPr>
                              <w:t xml:space="preserve">2. </w:t>
                            </w:r>
                            <w:r>
                              <w:t>天津市</w:t>
                            </w:r>
                            <w:r>
                              <w:rPr>
                                <w:rFonts w:hint="eastAsia"/>
                              </w:rPr>
                              <w:t>《关于住宅多样性空间增值利用规划管理的指导意见（试行）》</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top:158.95pt;height:144pt;width:144pt;mso-position-horizontal:right;mso-position-horizontal-relative:margin;mso-wrap-distance-bottom:0pt;mso-wrap-distance-left:9pt;mso-wrap-distance-right:9pt;mso-wrap-distance-top:0pt;mso-wrap-style:none;z-index:251662336;mso-width-relative:page;mso-height-relative:page;" fillcolor="#FFFFFF [3201]" filled="t" stroked="t" coordsize="21600,21600" o:gfxdata="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XhvT01wAAAAgBAAAP&#10;AAAAAAAAAAEAIAAAACIAAABkcnMvZG93bnJldi54bWxQSwECFAAUAAAACACHTuJAHWDnqFICAAC2&#10;BAAADgAAAAAAAAABACAAAAAmAQAAZHJzL2Uyb0RvYy54bWxQSwUGAAAAAAYABgBZAQAA6gUAAAAA&#10;">
                <v:fill on="t" focussize="0,0"/>
                <v:stroke weight="0.5pt" color="#000000 [3204]" joinstyle="round"/>
                <v:imagedata o:title=""/>
                <o:lock v:ext="edit" aspectratio="f"/>
                <v:textbox style="mso-fit-shape-to-text:t;">
                  <w:txbxContent>
                    <w:p>
                      <w:pPr>
                        <w:pStyle w:val="2"/>
                      </w:pPr>
                      <w:r>
                        <w:rPr>
                          <w:rFonts w:hint="eastAsia"/>
                        </w:rPr>
                        <w:t>参考：</w:t>
                      </w:r>
                    </w:p>
                    <w:p>
                      <w:pPr>
                        <w:pStyle w:val="2"/>
                        <w:ind w:firstLine="420" w:firstLineChars="200"/>
                      </w:pPr>
                      <w:r>
                        <w:rPr>
                          <w:rFonts w:hint="eastAsia"/>
                        </w:rPr>
                        <w:t>1.《建筑工程建筑面积计算规范》</w:t>
                      </w:r>
                      <w:r>
                        <w:t>GB/T 50353-2013“形成建筑空间的坡屋顶，结构净高在2</w:t>
                      </w:r>
                      <w:r>
                        <w:rPr>
                          <w:rFonts w:hint="eastAsia"/>
                        </w:rPr>
                        <w:t>．</w:t>
                      </w:r>
                      <w:r>
                        <w:t>10m</w:t>
                      </w:r>
                      <w:r>
                        <w:rPr>
                          <w:rFonts w:hint="eastAsia"/>
                        </w:rPr>
                        <w:t>及以上的部位应计算全面积；结构净高在</w:t>
                      </w:r>
                      <w:r>
                        <w:t>1</w:t>
                      </w:r>
                      <w:r>
                        <w:rPr>
                          <w:rFonts w:hint="eastAsia"/>
                        </w:rPr>
                        <w:t>．</w:t>
                      </w:r>
                      <w:r>
                        <w:t>20m</w:t>
                      </w:r>
                      <w:r>
                        <w:rPr>
                          <w:rFonts w:hint="eastAsia"/>
                        </w:rPr>
                        <w:t>及以上至</w:t>
                      </w:r>
                      <w:r>
                        <w:t>2</w:t>
                      </w:r>
                      <w:r>
                        <w:rPr>
                          <w:rFonts w:hint="eastAsia"/>
                        </w:rPr>
                        <w:t>．</w:t>
                      </w:r>
                      <w:r>
                        <w:t>10m</w:t>
                      </w:r>
                      <w:r>
                        <w:rPr>
                          <w:rFonts w:hint="eastAsia"/>
                        </w:rPr>
                        <w:t>以下的部位应计算</w:t>
                      </w:r>
                      <w:r>
                        <w:t>1/2</w:t>
                      </w:r>
                      <w:r>
                        <w:rPr>
                          <w:rFonts w:hint="eastAsia"/>
                        </w:rPr>
                        <w:t>面积；结构净高在</w:t>
                      </w:r>
                      <w:r>
                        <w:t>1</w:t>
                      </w:r>
                      <w:r>
                        <w:rPr>
                          <w:rFonts w:hint="eastAsia"/>
                        </w:rPr>
                        <w:t>．</w:t>
                      </w:r>
                      <w:r>
                        <w:t>20m</w:t>
                      </w:r>
                      <w:r>
                        <w:rPr>
                          <w:rFonts w:hint="eastAsia"/>
                        </w:rPr>
                        <w:t>以下的部位不应计算建筑面积。”</w:t>
                      </w:r>
                    </w:p>
                    <w:p>
                      <w:pPr>
                        <w:pStyle w:val="2"/>
                        <w:ind w:firstLine="420" w:firstLineChars="200"/>
                      </w:pPr>
                      <w:r>
                        <w:rPr>
                          <w:rFonts w:hint="eastAsia"/>
                        </w:rPr>
                        <w:t xml:space="preserve">2. </w:t>
                      </w:r>
                      <w:r>
                        <w:t>天津市</w:t>
                      </w:r>
                      <w:r>
                        <w:rPr>
                          <w:rFonts w:hint="eastAsia"/>
                        </w:rPr>
                        <w:t>《关于住宅多样性空间增值利用规划管理的指导意见（试行）》</w:t>
                      </w:r>
                    </w:p>
                  </w:txbxContent>
                </v:textbox>
                <w10:wrap type="square"/>
              </v:shape>
            </w:pict>
          </mc:Fallback>
        </mc:AlternateContent>
      </w:r>
      <w:r>
        <w:rPr>
          <w:rFonts w:hint="eastAsia" w:ascii="仿宋" w:hAnsi="仿宋" w:eastAsia="仿宋"/>
          <w:kern w:val="0"/>
          <w:sz w:val="32"/>
          <w:szCs w:val="32"/>
        </w:rPr>
        <w:t>款详见附图三说明）</w:t>
      </w:r>
    </w:p>
    <w:p>
      <w:pPr>
        <w:numPr>
          <w:ilvl w:val="0"/>
          <w:numId w:val="1"/>
        </w:numPr>
        <w:autoSpaceDE w:val="0"/>
        <w:autoSpaceDN w:val="0"/>
        <w:adjustRightInd w:val="0"/>
        <w:ind w:firstLine="643" w:firstLineChars="200"/>
        <w:jc w:val="left"/>
        <w:rPr>
          <w:rFonts w:ascii="仿宋" w:hAnsi="仿宋" w:eastAsia="仿宋"/>
          <w:kern w:val="0"/>
          <w:sz w:val="32"/>
          <w:szCs w:val="32"/>
        </w:rPr>
      </w:pPr>
      <w:r>
        <w:rPr>
          <w:rFonts w:hint="eastAsia" w:ascii="仿宋" w:hAnsi="仿宋" w:eastAsia="仿宋"/>
          <w:b/>
          <w:kern w:val="0"/>
          <w:sz w:val="32"/>
          <w:szCs w:val="32"/>
        </w:rPr>
        <w:t>鼓励民用建筑采取自然采光与通风的方式提高建筑品质。</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民用建筑地下空间宜采用下沉庭院、天井等方式增加天然采光和自然通风，地下建筑空间及结构不得逾越项目用地红线。鼓励建设项目充分利用地下空间提高土地利用率（居住区公共服务设施以便民为原则需设置为地上的建构筑物以及其他有特殊要求的设施除外），其中住宅单元的地下空间增值利用部分（以下简称住宅地下室），应满足以下要求：住宅地下室总层高不应超过6.0m；住宅的卧室、起居室(厅)不应布置在地下。</w:t>
      </w:r>
    </w:p>
    <w:p>
      <w:pPr>
        <w:pStyle w:val="13"/>
        <w:ind w:firstLine="640"/>
        <w:outlineLvl w:val="1"/>
        <w:rPr>
          <w:rFonts w:ascii="仿宋" w:hAnsi="仿宋" w:eastAsia="仿宋"/>
          <w:kern w:val="0"/>
          <w:sz w:val="32"/>
          <w:szCs w:val="32"/>
        </w:rPr>
      </w:pPr>
      <w:r>
        <w:rPr>
          <w:rFonts w:hint="eastAsia" w:ascii="仿宋" w:hAnsi="仿宋" w:eastAsia="仿宋"/>
          <w:kern w:val="0"/>
          <w:sz w:val="32"/>
          <w:szCs w:val="32"/>
        </w:rPr>
        <w:t>建设项目中地下空间增值利用部分建筑面积应在建设工程设计方案技术经济指标表和建筑面积计算表中予以明确，应按照有关要求</w:t>
      </w:r>
      <w:r>
        <w:rPr>
          <w:rFonts w:ascii="仿宋" w:hAnsi="仿宋" w:eastAsia="仿宋"/>
          <w:kern w:val="0"/>
          <w:sz w:val="32"/>
          <w:szCs w:val="32"/>
        </w:rPr>
        <w:t>补缴土地出让收益，土地出让收益收取比例按我市有关规定减半执行。</w:t>
      </w:r>
    </w:p>
    <w:p>
      <w:pPr>
        <w:autoSpaceDE w:val="0"/>
        <w:autoSpaceDN w:val="0"/>
        <w:adjustRightInd w:val="0"/>
        <w:ind w:firstLine="640" w:firstLineChars="200"/>
        <w:jc w:val="left"/>
        <w:rPr>
          <w:rFonts w:ascii="仿宋" w:hAnsi="仿宋" w:eastAsia="仿宋"/>
          <w:kern w:val="0"/>
          <w:sz w:val="32"/>
          <w:szCs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255260" cy="1828800"/>
                <wp:effectExtent l="4445" t="4445" r="17145" b="14605"/>
                <wp:wrapSquare wrapText="bothSides"/>
                <wp:docPr id="9" name="文本框 9"/>
                <wp:cNvGraphicFramePr/>
                <a:graphic xmlns:a="http://schemas.openxmlformats.org/drawingml/2006/main">
                  <a:graphicData uri="http://schemas.microsoft.com/office/word/2010/wordprocessingShape">
                    <wps:wsp>
                      <wps:cNvSpPr txBox="1"/>
                      <wps:spPr>
                        <a:xfrm>
                          <a:off x="0" y="0"/>
                          <a:ext cx="525526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outlineLvl w:val="1"/>
                            </w:pPr>
                            <w:r>
                              <w:rPr>
                                <w:rFonts w:hint="eastAsia"/>
                              </w:rPr>
                              <w:t>参考：</w:t>
                            </w:r>
                          </w:p>
                          <w:p>
                            <w:pPr>
                              <w:pStyle w:val="2"/>
                              <w:ind w:firstLine="420" w:firstLineChars="200"/>
                            </w:pPr>
                            <w:r>
                              <w:rPr>
                                <w:rFonts w:hint="eastAsia"/>
                              </w:rPr>
                              <w:t>1. 天津市《关于住宅多样性空间增值利用规划管理的指导意见（试行）》</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413.8pt;mso-wrap-distance-bottom:0pt;mso-wrap-distance-left:9pt;mso-wrap-distance-right:9pt;mso-wrap-distance-top:0pt;z-index:251663360;mso-width-relative:page;mso-height-relative:page;" fillcolor="#FFFFFF [3201]" filled="t" stroked="t" coordsize="21600,21600" o:gfxdata="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XmlJ9&#10;1wAAAAUBAAAPAAAAAAAAAAEAIAAAACIAAABkcnMvZG93bnJldi54bWxQSwECFAAUAAAACACHTuJA&#10;mBzixlsCAAC4BAAADgAAAAAAAAABACAAAAAmAQAAZHJzL2Uyb0RvYy54bWxQSwUGAAAAAAYABgBZ&#10;AQAA8wUAAAAA&#10;">
                <v:fill on="t" focussize="0,0"/>
                <v:stroke weight="0.5pt" color="#000000 [3204]" joinstyle="round"/>
                <v:imagedata o:title=""/>
                <o:lock v:ext="edit" aspectratio="f"/>
                <v:textbox style="mso-fit-shape-to-text:t;">
                  <w:txbxContent>
                    <w:p>
                      <w:pPr>
                        <w:outlineLvl w:val="1"/>
                      </w:pPr>
                      <w:r>
                        <w:rPr>
                          <w:rFonts w:hint="eastAsia"/>
                        </w:rPr>
                        <w:t>参考：</w:t>
                      </w:r>
                    </w:p>
                    <w:p>
                      <w:pPr>
                        <w:pStyle w:val="2"/>
                        <w:ind w:firstLine="420" w:firstLineChars="200"/>
                      </w:pPr>
                      <w:r>
                        <w:rPr>
                          <w:rFonts w:hint="eastAsia"/>
                        </w:rPr>
                        <w:t>1. 天津市《关于住宅多样性空间增值利用规划管理的指导意见（试行）》</w:t>
                      </w:r>
                    </w:p>
                  </w:txbxContent>
                </v:textbox>
                <w10:wrap type="square"/>
              </v:shape>
            </w:pict>
          </mc:Fallback>
        </mc:AlternateContent>
      </w:r>
      <w:r>
        <w:rPr>
          <w:rFonts w:hint="eastAsia" w:ascii="仿宋" w:hAnsi="仿宋" w:eastAsia="仿宋"/>
          <w:b/>
          <w:kern w:val="0"/>
          <w:sz w:val="32"/>
          <w:szCs w:val="32"/>
        </w:rPr>
        <w:t>六</w:t>
      </w:r>
      <w:r>
        <w:rPr>
          <w:rFonts w:hint="eastAsia" w:ascii="仿宋" w:hAnsi="仿宋" w:eastAsia="仿宋"/>
          <w:kern w:val="0"/>
          <w:sz w:val="32"/>
          <w:szCs w:val="32"/>
        </w:rPr>
        <w:t>、</w:t>
      </w:r>
      <w:r>
        <w:rPr>
          <w:rFonts w:ascii="仿宋" w:hAnsi="仿宋" w:eastAsia="仿宋"/>
          <w:b/>
          <w:kern w:val="0"/>
          <w:sz w:val="32"/>
          <w:szCs w:val="32"/>
        </w:rPr>
        <w:t>以惠民为原则，鼓励滨海新区住宅建筑设置阳台，提升居住品质。有关要求如下：</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（一）住宅建筑的每个套型中凸出结构主体外的阳台、凸窗、室外空调机隔板等构件的水平面积之和不应超过该套型总建筑面积的</w:t>
      </w:r>
      <w:r>
        <w:rPr>
          <w:rFonts w:ascii="仿宋" w:hAnsi="仿宋" w:eastAsia="仿宋"/>
          <w:kern w:val="0"/>
          <w:sz w:val="32"/>
          <w:szCs w:val="32"/>
        </w:rPr>
        <w:t>15%</w:t>
      </w:r>
      <w:r>
        <w:rPr>
          <w:rFonts w:hint="eastAsia" w:ascii="仿宋" w:hAnsi="仿宋" w:eastAsia="仿宋"/>
          <w:kern w:val="0"/>
          <w:sz w:val="32"/>
          <w:szCs w:val="32"/>
        </w:rPr>
        <w:t>，且不应大于</w:t>
      </w:r>
      <w:r>
        <w:rPr>
          <w:rFonts w:ascii="仿宋" w:hAnsi="仿宋" w:eastAsia="仿宋"/>
          <w:kern w:val="0"/>
          <w:sz w:val="32"/>
          <w:szCs w:val="32"/>
        </w:rPr>
        <w:t>25</w:t>
      </w:r>
      <w:r>
        <w:rPr>
          <w:rFonts w:hint="eastAsia" w:ascii="仿宋" w:hAnsi="仿宋" w:eastAsia="仿宋"/>
          <w:kern w:val="0"/>
          <w:sz w:val="32"/>
          <w:szCs w:val="32"/>
        </w:rPr>
        <w:t>平方米</w:t>
      </w:r>
      <w:r>
        <w:rPr>
          <w:rFonts w:ascii="仿宋" w:hAnsi="仿宋" w:eastAsia="仿宋"/>
          <w:kern w:val="0"/>
          <w:sz w:val="32"/>
          <w:szCs w:val="32"/>
        </w:rPr>
        <w:t xml:space="preserve"> </w:t>
      </w:r>
      <w:r>
        <w:rPr>
          <w:rFonts w:hint="eastAsia" w:ascii="仿宋" w:hAnsi="仿宋" w:eastAsia="仿宋"/>
          <w:kern w:val="0"/>
          <w:sz w:val="32"/>
          <w:szCs w:val="32"/>
        </w:rPr>
        <w:t>。其中住宅建筑阳台最大进深不应大于</w:t>
      </w:r>
      <w:r>
        <w:rPr>
          <w:rFonts w:ascii="仿宋" w:hAnsi="仿宋" w:eastAsia="仿宋"/>
          <w:kern w:val="0"/>
          <w:sz w:val="32"/>
          <w:szCs w:val="32"/>
        </w:rPr>
        <w:t>2.10</w:t>
      </w:r>
      <w:r>
        <w:rPr>
          <w:rFonts w:hint="eastAsia" w:ascii="仿宋" w:hAnsi="仿宋" w:eastAsia="仿宋"/>
          <w:kern w:val="0"/>
          <w:sz w:val="32"/>
          <w:szCs w:val="32"/>
        </w:rPr>
        <w:t>米。阳台的设置应兼顾实用与美观的原则，结合住宅主要使用功能进行设置。</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（二）套型建筑面积不大于</w:t>
      </w:r>
      <w:r>
        <w:rPr>
          <w:rFonts w:ascii="仿宋" w:hAnsi="仿宋" w:eastAsia="仿宋"/>
          <w:kern w:val="0"/>
          <w:sz w:val="32"/>
          <w:szCs w:val="32"/>
        </w:rPr>
        <w:t>100</w:t>
      </w:r>
      <w:r>
        <w:rPr>
          <w:rFonts w:hint="eastAsia" w:ascii="仿宋" w:hAnsi="仿宋" w:eastAsia="仿宋"/>
          <w:kern w:val="0"/>
          <w:sz w:val="32"/>
          <w:szCs w:val="32"/>
        </w:rPr>
        <w:t>平方米时，每户阳台结构底板投影面积之和不应大于</w:t>
      </w:r>
      <w:r>
        <w:rPr>
          <w:rFonts w:ascii="仿宋" w:hAnsi="仿宋" w:eastAsia="仿宋"/>
          <w:kern w:val="0"/>
          <w:sz w:val="32"/>
          <w:szCs w:val="32"/>
        </w:rPr>
        <w:t>8</w:t>
      </w:r>
      <w:r>
        <w:rPr>
          <w:rFonts w:hint="eastAsia" w:ascii="仿宋" w:hAnsi="仿宋" w:eastAsia="仿宋"/>
          <w:kern w:val="0"/>
          <w:sz w:val="32"/>
          <w:szCs w:val="32"/>
        </w:rPr>
        <w:t>平方米；套型建筑面积大于</w:t>
      </w:r>
      <w:r>
        <w:rPr>
          <w:rFonts w:ascii="仿宋" w:hAnsi="仿宋" w:eastAsia="仿宋"/>
          <w:kern w:val="0"/>
          <w:sz w:val="32"/>
          <w:szCs w:val="32"/>
        </w:rPr>
        <w:t>100</w:t>
      </w:r>
      <w:r>
        <w:rPr>
          <w:rFonts w:hint="eastAsia" w:ascii="仿宋" w:hAnsi="仿宋" w:eastAsia="仿宋"/>
          <w:kern w:val="0"/>
          <w:sz w:val="32"/>
          <w:szCs w:val="32"/>
        </w:rPr>
        <w:t>平方米且不大于</w:t>
      </w:r>
      <w:r>
        <w:rPr>
          <w:rFonts w:ascii="仿宋" w:hAnsi="仿宋" w:eastAsia="仿宋"/>
          <w:kern w:val="0"/>
          <w:sz w:val="32"/>
          <w:szCs w:val="32"/>
        </w:rPr>
        <w:t>130</w:t>
      </w:r>
      <w:r>
        <w:rPr>
          <w:rFonts w:hint="eastAsia" w:ascii="仿宋" w:hAnsi="仿宋" w:eastAsia="仿宋"/>
          <w:kern w:val="0"/>
          <w:sz w:val="32"/>
          <w:szCs w:val="32"/>
        </w:rPr>
        <w:t>平方米时，每户阳台结构底板投影面积之和不应大于</w:t>
      </w:r>
      <w:r>
        <w:rPr>
          <w:rFonts w:ascii="仿宋" w:hAnsi="仿宋" w:eastAsia="仿宋"/>
          <w:kern w:val="0"/>
          <w:sz w:val="32"/>
          <w:szCs w:val="32"/>
        </w:rPr>
        <w:t>15</w:t>
      </w:r>
      <w:r>
        <w:rPr>
          <w:rFonts w:hint="eastAsia" w:ascii="仿宋" w:hAnsi="仿宋" w:eastAsia="仿宋"/>
          <w:kern w:val="0"/>
          <w:sz w:val="32"/>
          <w:szCs w:val="32"/>
        </w:rPr>
        <w:t>平方米；套型建筑面积大于</w:t>
      </w:r>
      <w:r>
        <w:rPr>
          <w:rFonts w:ascii="仿宋" w:hAnsi="仿宋" w:eastAsia="仿宋"/>
          <w:kern w:val="0"/>
          <w:sz w:val="32"/>
          <w:szCs w:val="32"/>
        </w:rPr>
        <w:t>130</w:t>
      </w:r>
      <w:r>
        <w:rPr>
          <w:rFonts w:hint="eastAsia" w:ascii="仿宋" w:hAnsi="仿宋" w:eastAsia="仿宋"/>
          <w:kern w:val="0"/>
          <w:sz w:val="32"/>
          <w:szCs w:val="32"/>
        </w:rPr>
        <w:t>平方米时，每户阳台结构底板投影面积之和不应大于</w:t>
      </w:r>
      <w:r>
        <w:rPr>
          <w:rFonts w:ascii="仿宋" w:hAnsi="仿宋" w:eastAsia="仿宋"/>
          <w:kern w:val="0"/>
          <w:sz w:val="32"/>
          <w:szCs w:val="32"/>
        </w:rPr>
        <w:t>20</w:t>
      </w:r>
      <w:r>
        <w:rPr>
          <w:rFonts w:hint="eastAsia" w:ascii="仿宋" w:hAnsi="仿宋" w:eastAsia="仿宋"/>
          <w:kern w:val="0"/>
          <w:sz w:val="32"/>
          <w:szCs w:val="32"/>
        </w:rPr>
        <w:t>平方米。</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（三）住宅的阳台不论封闭与否，在主体结构内的阳台，应按其结构外围水平面积计算全面积；</w:t>
      </w:r>
      <w:bookmarkStart w:id="0" w:name="_Hlk110517696"/>
      <w:r>
        <w:rPr>
          <w:rFonts w:hint="eastAsia" w:ascii="仿宋" w:hAnsi="仿宋" w:eastAsia="仿宋"/>
          <w:kern w:val="0"/>
          <w:sz w:val="32"/>
          <w:szCs w:val="32"/>
        </w:rPr>
        <w:t>在主体结构外的阳台，</w:t>
      </w:r>
      <w:bookmarkEnd w:id="0"/>
      <w:r>
        <w:rPr>
          <w:rFonts w:hint="eastAsia" w:ascii="仿宋" w:hAnsi="仿宋" w:eastAsia="仿宋"/>
          <w:kern w:val="0"/>
          <w:sz w:val="32"/>
          <w:szCs w:val="32"/>
        </w:rPr>
        <w:t>应</w:t>
      </w:r>
      <w:bookmarkStart w:id="1" w:name="_Hlk110517714"/>
      <w:r>
        <w:rPr>
          <w:rFonts w:hint="eastAsia" w:ascii="仿宋" w:hAnsi="仿宋" w:eastAsia="仿宋"/>
          <w:kern w:val="0"/>
          <w:sz w:val="32"/>
          <w:szCs w:val="32"/>
        </w:rPr>
        <w:t>按其结构底板水平投影面积计算</w:t>
      </w:r>
      <w:r>
        <w:rPr>
          <w:rFonts w:ascii="仿宋" w:hAnsi="仿宋" w:eastAsia="仿宋"/>
          <w:kern w:val="0"/>
          <w:sz w:val="32"/>
          <w:szCs w:val="32"/>
        </w:rPr>
        <w:t>1/2</w:t>
      </w:r>
      <w:r>
        <w:rPr>
          <w:rFonts w:hint="eastAsia" w:ascii="仿宋" w:hAnsi="仿宋" w:eastAsia="仿宋"/>
          <w:kern w:val="0"/>
          <w:sz w:val="32"/>
          <w:szCs w:val="32"/>
        </w:rPr>
        <w:t>面积。</w:t>
      </w:r>
      <w:bookmarkEnd w:id="1"/>
      <w:r>
        <w:rPr>
          <w:rFonts w:hint="eastAsia" w:ascii="仿宋" w:hAnsi="仿宋" w:eastAsia="仿宋"/>
          <w:kern w:val="0"/>
          <w:sz w:val="32"/>
          <w:szCs w:val="32"/>
        </w:rPr>
        <w:t>设计单位应在各层平面图上明确主体结构线及具体位置。</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滨海新区</w:t>
      </w:r>
      <w:bookmarkStart w:id="2" w:name="_Hlk110516437"/>
      <w:r>
        <w:rPr>
          <w:rFonts w:hint="eastAsia" w:ascii="仿宋" w:hAnsi="仿宋" w:eastAsia="仿宋" w:cs="仿宋"/>
          <w:kern w:val="0"/>
          <w:sz w:val="32"/>
          <w:szCs w:val="32"/>
        </w:rPr>
        <w:t>规划及建筑设计、房产预测绘、登记测绘工作遵照该条执行。</w:t>
      </w:r>
      <w:bookmarkEnd w:id="2"/>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828800" cy="1828800"/>
                <wp:effectExtent l="4445" t="4445" r="14605" b="14605"/>
                <wp:wrapSquare wrapText="bothSides"/>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jc w:val="left"/>
                            </w:pPr>
                            <w:r>
                              <w:rPr>
                                <w:rFonts w:hint="eastAsia"/>
                              </w:rPr>
                              <w:t>参考：</w:t>
                            </w:r>
                          </w:p>
                          <w:p>
                            <w:pPr>
                              <w:numPr>
                                <w:ilvl w:val="0"/>
                                <w:numId w:val="2"/>
                              </w:numPr>
                              <w:tabs>
                                <w:tab w:val="left" w:pos="0"/>
                                <w:tab w:val="left" w:pos="360"/>
                                <w:tab w:val="left" w:pos="720"/>
                                <w:tab w:val="left" w:pos="1080"/>
                                <w:tab w:val="left" w:pos="1440"/>
                                <w:tab w:val="left" w:pos="1800"/>
                                <w:tab w:val="left" w:pos="2160"/>
                                <w:tab w:val="left" w:pos="2880"/>
                                <w:tab w:val="left" w:pos="3600"/>
                                <w:tab w:val="left" w:pos="4320"/>
                                <w:tab w:val="clear" w:pos="312"/>
                              </w:tabs>
                              <w:autoSpaceDE w:val="0"/>
                              <w:autoSpaceDN w:val="0"/>
                              <w:adjustRightInd w:val="0"/>
                              <w:ind w:firstLine="420" w:firstLineChars="200"/>
                              <w:jc w:val="left"/>
                            </w:pPr>
                            <w:r>
                              <w:rPr>
                                <w:rFonts w:hint="eastAsia"/>
                              </w:rPr>
                              <w:t>《建筑工程建筑面积计算规范》（GB/T 50353-2013）“3．0．21 在主体结构内的阳台，应按其结构外围水平面积计算全面积；在主体结构外的阳台，应按其结构底板水平投影面积计算1/2面积。</w:t>
                            </w:r>
                          </w:p>
                          <w:p>
                            <w:pPr>
                              <w:numPr>
                                <w:ilvl w:val="0"/>
                                <w:numId w:val="2"/>
                              </w:numPr>
                              <w:tabs>
                                <w:tab w:val="left" w:pos="0"/>
                                <w:tab w:val="left" w:pos="360"/>
                                <w:tab w:val="left" w:pos="720"/>
                                <w:tab w:val="left" w:pos="1080"/>
                                <w:tab w:val="left" w:pos="1440"/>
                                <w:tab w:val="left" w:pos="1800"/>
                                <w:tab w:val="left" w:pos="2160"/>
                                <w:tab w:val="left" w:pos="2880"/>
                                <w:tab w:val="left" w:pos="3600"/>
                                <w:tab w:val="left" w:pos="4320"/>
                                <w:tab w:val="clear" w:pos="312"/>
                              </w:tabs>
                              <w:autoSpaceDE w:val="0"/>
                              <w:autoSpaceDN w:val="0"/>
                              <w:adjustRightInd w:val="0"/>
                              <w:ind w:firstLine="420" w:firstLineChars="200"/>
                              <w:jc w:val="left"/>
                            </w:pPr>
                            <w:r>
                              <w:rPr>
                                <w:rFonts w:hint="eastAsia"/>
                              </w:rPr>
                              <w:t xml:space="preserve">《浙江省建筑工程建筑面积计算和竣工综合测量技术规程》（ DB33/T 1152-2018）5.2.5  “阳台、飘窗的建筑面积计算应符合下列规定：住宅套内的阳台不论封闭与否，均按其围护结构或围护设施的外围水平投影面积的1/2 计算建筑面积。住宅非套内阳台或非住宅设置的类似阳台的建筑空间，按其围护结构或围护设施的外围水平投影面积计算。”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4384;mso-width-relative:page;mso-height-relative:page;" fillcolor="#FFFFFF [3201]" filled="t" stroked="t" coordsize="21600,21600" o:gfxdata="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bKke9zwAAAAUBAAAPAAAAAAAAAAEA&#10;IAAAACIAAABkcnMvZG93bnJldi54bWxQSwECFAAUAAAACACHTuJA0bGelFECAAC4BAAADgAAAAAA&#10;AAABACAAAAAeAQAAZHJzL2Uyb0RvYy54bWxQSwUGAAAAAAYABgBZAQAA4QUAAAAA&#10;">
                <v:fill on="t" focussize="0,0"/>
                <v:stroke weight="0.5pt" color="#000000 [3204]" joinstyle="round"/>
                <v:imagedata o:title=""/>
                <o:lock v:ext="edit" aspectratio="f"/>
                <v:textbox style="mso-fit-shape-to-text:t;">
                  <w:txbxContent>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jc w:val="left"/>
                      </w:pPr>
                      <w:r>
                        <w:rPr>
                          <w:rFonts w:hint="eastAsia"/>
                        </w:rPr>
                        <w:t>参考：</w:t>
                      </w:r>
                    </w:p>
                    <w:p>
                      <w:pPr>
                        <w:numPr>
                          <w:ilvl w:val="0"/>
                          <w:numId w:val="2"/>
                        </w:numPr>
                        <w:tabs>
                          <w:tab w:val="left" w:pos="0"/>
                          <w:tab w:val="left" w:pos="360"/>
                          <w:tab w:val="left" w:pos="720"/>
                          <w:tab w:val="left" w:pos="1080"/>
                          <w:tab w:val="left" w:pos="1440"/>
                          <w:tab w:val="left" w:pos="1800"/>
                          <w:tab w:val="left" w:pos="2160"/>
                          <w:tab w:val="left" w:pos="2880"/>
                          <w:tab w:val="left" w:pos="3600"/>
                          <w:tab w:val="left" w:pos="4320"/>
                          <w:tab w:val="clear" w:pos="312"/>
                        </w:tabs>
                        <w:autoSpaceDE w:val="0"/>
                        <w:autoSpaceDN w:val="0"/>
                        <w:adjustRightInd w:val="0"/>
                        <w:ind w:firstLine="420" w:firstLineChars="200"/>
                        <w:jc w:val="left"/>
                      </w:pPr>
                      <w:r>
                        <w:rPr>
                          <w:rFonts w:hint="eastAsia"/>
                        </w:rPr>
                        <w:t>《建筑工程建筑面积计算规范》（GB/T 50353-2013）“3．0．21 在主体结构内的阳台，应按其结构外围水平面积计算全面积；在主体结构外的阳台，应按其结构底板水平投影面积计算1/2面积。</w:t>
                      </w:r>
                    </w:p>
                    <w:p>
                      <w:pPr>
                        <w:numPr>
                          <w:ilvl w:val="0"/>
                          <w:numId w:val="2"/>
                        </w:numPr>
                        <w:tabs>
                          <w:tab w:val="left" w:pos="0"/>
                          <w:tab w:val="left" w:pos="360"/>
                          <w:tab w:val="left" w:pos="720"/>
                          <w:tab w:val="left" w:pos="1080"/>
                          <w:tab w:val="left" w:pos="1440"/>
                          <w:tab w:val="left" w:pos="1800"/>
                          <w:tab w:val="left" w:pos="2160"/>
                          <w:tab w:val="left" w:pos="2880"/>
                          <w:tab w:val="left" w:pos="3600"/>
                          <w:tab w:val="left" w:pos="4320"/>
                          <w:tab w:val="clear" w:pos="312"/>
                        </w:tabs>
                        <w:autoSpaceDE w:val="0"/>
                        <w:autoSpaceDN w:val="0"/>
                        <w:adjustRightInd w:val="0"/>
                        <w:ind w:firstLine="420" w:firstLineChars="200"/>
                        <w:jc w:val="left"/>
                      </w:pPr>
                      <w:r>
                        <w:rPr>
                          <w:rFonts w:hint="eastAsia"/>
                        </w:rPr>
                        <w:t xml:space="preserve">《浙江省建筑工程建筑面积计算和竣工综合测量技术规程》（ DB33/T 1152-2018）5.2.5  “阳台、飘窗的建筑面积计算应符合下列规定：住宅套内的阳台不论封闭与否，均按其围护结构或围护设施的外围水平投影面积的1/2 计算建筑面积。住宅非套内阳台或非住宅设置的类似阳台的建筑空间，按其围护结构或围护设施的外围水平投影面积计算。” </w:t>
                      </w:r>
                    </w:p>
                  </w:txbxContent>
                </v:textbox>
                <w10:wrap type="square"/>
              </v:shape>
            </w:pict>
          </mc:Fallback>
        </mc:AlternateContent>
      </w:r>
      <w:r>
        <w:rPr>
          <w:rFonts w:hint="eastAsia" w:ascii="仿宋" w:hAnsi="仿宋" w:eastAsia="仿宋"/>
          <w:b/>
          <w:kern w:val="0"/>
          <w:sz w:val="32"/>
          <w:szCs w:val="32"/>
        </w:rPr>
        <w:t>七、鼓励通过增设住宅套内共享空间，提高住宅类建筑设计品质。</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rFonts w:ascii="仿宋" w:hAnsi="仿宋" w:eastAsia="仿宋"/>
          <w:kern w:val="0"/>
          <w:sz w:val="32"/>
          <w:szCs w:val="32"/>
        </w:rPr>
        <w:t>住宅类建筑的标准层高一般不超高3.6</w:t>
      </w:r>
      <w:r>
        <w:rPr>
          <w:rFonts w:hint="eastAsia" w:ascii="仿宋" w:hAnsi="仿宋" w:eastAsia="仿宋"/>
          <w:kern w:val="0"/>
          <w:sz w:val="32"/>
          <w:szCs w:val="32"/>
        </w:rPr>
        <w:t>米，门厅、起居室、餐厅等通高部位的建筑层高不宜大于</w:t>
      </w:r>
      <w:r>
        <w:rPr>
          <w:rFonts w:ascii="仿宋" w:hAnsi="仿宋" w:eastAsia="仿宋"/>
          <w:kern w:val="0"/>
          <w:sz w:val="32"/>
          <w:szCs w:val="32"/>
        </w:rPr>
        <w:t>7.2</w:t>
      </w:r>
      <w:r>
        <w:rPr>
          <w:rFonts w:hint="eastAsia" w:ascii="仿宋" w:hAnsi="仿宋" w:eastAsia="仿宋"/>
          <w:kern w:val="0"/>
          <w:sz w:val="32"/>
          <w:szCs w:val="32"/>
        </w:rPr>
        <w:t>米，且通高部位建筑面积总和不应超过该户套型总建筑面积的</w:t>
      </w:r>
      <w:r>
        <w:rPr>
          <w:rFonts w:ascii="仿宋" w:hAnsi="仿宋" w:eastAsia="仿宋"/>
          <w:kern w:val="0"/>
          <w:sz w:val="32"/>
          <w:szCs w:val="32"/>
        </w:rPr>
        <w:t>30%</w:t>
      </w:r>
      <w:r>
        <w:rPr>
          <w:rFonts w:hint="eastAsia" w:ascii="仿宋" w:hAnsi="仿宋" w:eastAsia="仿宋"/>
          <w:kern w:val="0"/>
          <w:sz w:val="32"/>
          <w:szCs w:val="32"/>
        </w:rPr>
        <w:t>。</w:t>
      </w:r>
    </w:p>
    <w:p>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640" w:firstLineChars="200"/>
        <w:jc w:val="left"/>
        <w:rPr>
          <w:rFonts w:ascii="仿宋" w:hAnsi="仿宋" w:eastAsia="仿宋"/>
          <w:kern w:val="0"/>
          <w:sz w:val="32"/>
          <w:szCs w:val="32"/>
        </w:rPr>
      </w:pPr>
      <w:r>
        <w:rPr>
          <w:sz w:val="32"/>
        </w:rPr>
        <mc:AlternateContent>
          <mc:Choice Requires="wps">
            <w:drawing>
              <wp:anchor distT="0" distB="0" distL="114300" distR="114300" simplePos="0" relativeHeight="251665408" behindDoc="0" locked="0" layoutInCell="1" allowOverlap="1">
                <wp:simplePos x="0" y="0"/>
                <wp:positionH relativeFrom="column">
                  <wp:posOffset>34925</wp:posOffset>
                </wp:positionH>
                <wp:positionV relativeFrom="paragraph">
                  <wp:posOffset>1399540</wp:posOffset>
                </wp:positionV>
                <wp:extent cx="1828800" cy="1828800"/>
                <wp:effectExtent l="4445" t="4445" r="14605" b="14605"/>
                <wp:wrapSquare wrapText="bothSides"/>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参考：</w:t>
                            </w:r>
                          </w:p>
                          <w:p>
                            <w:pPr>
                              <w:pStyle w:val="2"/>
                              <w:ind w:firstLine="420" w:firstLineChars="200"/>
                            </w:pPr>
                            <w:r>
                              <w:rPr>
                                <w:rFonts w:hint="eastAsia"/>
                              </w:rPr>
                              <w:t>1.《广州市规划管理容积率指标计算办法》</w:t>
                            </w:r>
                            <w:r>
                              <w:t>“套内建筑面积超过144</w:t>
                            </w:r>
                            <w:r>
                              <w:rPr>
                                <w:rFonts w:hint="eastAsia"/>
                              </w:rPr>
                              <w:t>㎡的复式住宅，其客厅、起居室挑空部分层高在</w:t>
                            </w:r>
                            <w:r>
                              <w:t>6</w:t>
                            </w:r>
                            <w:r>
                              <w:rPr>
                                <w:rFonts w:hint="eastAsia"/>
                              </w:rPr>
                              <w:t>米以内的，水平投影面积不大于套内各层平均水平投影面积</w:t>
                            </w:r>
                            <w:r>
                              <w:t>30</w:t>
                            </w:r>
                            <w:r>
                              <w:rPr>
                                <w:rFonts w:hint="eastAsia"/>
                              </w:rPr>
                              <w:t>％且不大于</w:t>
                            </w:r>
                            <w:r>
                              <w:t>50</w:t>
                            </w:r>
                            <w:r>
                              <w:rPr>
                                <w:rFonts w:hint="eastAsia"/>
                              </w:rPr>
                              <w:t>㎡的按</w:t>
                            </w:r>
                            <w:r>
                              <w:t>1.5</w:t>
                            </w:r>
                            <w:r>
                              <w:rPr>
                                <w:rFonts w:hint="eastAsia"/>
                              </w:rPr>
                              <w:t>倍计算容积率建筑面积，超出部分按</w:t>
                            </w:r>
                            <w:r>
                              <w:t>2</w:t>
                            </w:r>
                            <w:r>
                              <w:rPr>
                                <w:rFonts w:hint="eastAsia"/>
                              </w:rPr>
                              <w:t>倍计算容积率建筑面积。当其客厅、起居室挑空部分层高大于</w:t>
                            </w:r>
                            <w:r>
                              <w:t>6</w:t>
                            </w:r>
                            <w:r>
                              <w:rPr>
                                <w:rFonts w:hint="eastAsia"/>
                              </w:rPr>
                              <w:t>米时，超出部分以每</w:t>
                            </w:r>
                            <w:r>
                              <w:t>2.2</w:t>
                            </w:r>
                            <w:r>
                              <w:rPr>
                                <w:rFonts w:hint="eastAsia"/>
                              </w:rPr>
                              <w:t>米为单位累进增加</w:t>
                            </w:r>
                            <w:r>
                              <w:t>1</w:t>
                            </w:r>
                            <w:r>
                              <w:rPr>
                                <w:rFonts w:hint="eastAsia"/>
                              </w:rPr>
                              <w:t>倍计算容积率指标。”</w:t>
                            </w:r>
                          </w:p>
                          <w:p>
                            <w:pPr>
                              <w:pStyle w:val="2"/>
                              <w:ind w:firstLine="420" w:firstLineChars="200"/>
                            </w:pPr>
                            <w:r>
                              <w:rPr>
                                <w:rFonts w:hint="eastAsia"/>
                              </w:rPr>
                              <w:t>2.天津市《关于住宅多样性空间增值利用规划管理的指导意见（试行）》</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75pt;margin-top:110.2pt;height:144pt;width:144pt;mso-wrap-distance-bottom:0pt;mso-wrap-distance-left:9pt;mso-wrap-distance-right:9pt;mso-wrap-distance-top:0pt;mso-wrap-style:none;z-index:251665408;mso-width-relative:page;mso-height-relative:page;" fillcolor="#FFFFFF [3201]" filled="t" stroked="t" coordsize="21600,21600" o:gfxdata="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RMWXTWAAAACQEAAA8A&#10;AAAAAAAAAQAgAAAAIgAAAGRycy9kb3ducmV2LnhtbFBLAQIUABQAAAAIAIdO4kCV3qMjUgIAALgE&#10;AAAOAAAAAAAAAAEAIAAAACUBAABkcnMvZTJvRG9jLnhtbFBLBQYAAAAABgAGAFkBAADpBQAAAAA=&#10;">
                <v:fill on="t" focussize="0,0"/>
                <v:stroke weight="0.5pt" color="#000000 [3204]" joinstyle="round"/>
                <v:imagedata o:title=""/>
                <o:lock v:ext="edit" aspectratio="f"/>
                <v:textbox style="mso-fit-shape-to-text:t;">
                  <w:txbxContent>
                    <w:p>
                      <w:pPr>
                        <w:pStyle w:val="2"/>
                      </w:pPr>
                      <w:r>
                        <w:rPr>
                          <w:rFonts w:hint="eastAsia"/>
                        </w:rPr>
                        <w:t>参考：</w:t>
                      </w:r>
                    </w:p>
                    <w:p>
                      <w:pPr>
                        <w:pStyle w:val="2"/>
                        <w:ind w:firstLine="420" w:firstLineChars="200"/>
                      </w:pPr>
                      <w:r>
                        <w:rPr>
                          <w:rFonts w:hint="eastAsia"/>
                        </w:rPr>
                        <w:t>1.《广州市规划管理容积率指标计算办法》</w:t>
                      </w:r>
                      <w:r>
                        <w:t>“套内建筑面积超过144</w:t>
                      </w:r>
                      <w:r>
                        <w:rPr>
                          <w:rFonts w:hint="eastAsia"/>
                        </w:rPr>
                        <w:t>㎡的复式住宅，其客厅、起居室挑空部分层高在</w:t>
                      </w:r>
                      <w:r>
                        <w:t>6</w:t>
                      </w:r>
                      <w:r>
                        <w:rPr>
                          <w:rFonts w:hint="eastAsia"/>
                        </w:rPr>
                        <w:t>米以内的，水平投影面积不大于套内各层平均水平投影面积</w:t>
                      </w:r>
                      <w:r>
                        <w:t>30</w:t>
                      </w:r>
                      <w:r>
                        <w:rPr>
                          <w:rFonts w:hint="eastAsia"/>
                        </w:rPr>
                        <w:t>％且不大于</w:t>
                      </w:r>
                      <w:r>
                        <w:t>50</w:t>
                      </w:r>
                      <w:r>
                        <w:rPr>
                          <w:rFonts w:hint="eastAsia"/>
                        </w:rPr>
                        <w:t>㎡的按</w:t>
                      </w:r>
                      <w:r>
                        <w:t>1.5</w:t>
                      </w:r>
                      <w:r>
                        <w:rPr>
                          <w:rFonts w:hint="eastAsia"/>
                        </w:rPr>
                        <w:t>倍计算容积率建筑面积，超出部分按</w:t>
                      </w:r>
                      <w:r>
                        <w:t>2</w:t>
                      </w:r>
                      <w:r>
                        <w:rPr>
                          <w:rFonts w:hint="eastAsia"/>
                        </w:rPr>
                        <w:t>倍计算容积率建筑面积。当其客厅、起居室挑空部分层高大于</w:t>
                      </w:r>
                      <w:r>
                        <w:t>6</w:t>
                      </w:r>
                      <w:r>
                        <w:rPr>
                          <w:rFonts w:hint="eastAsia"/>
                        </w:rPr>
                        <w:t>米时，超出部分以每</w:t>
                      </w:r>
                      <w:r>
                        <w:t>2.2</w:t>
                      </w:r>
                      <w:r>
                        <w:rPr>
                          <w:rFonts w:hint="eastAsia"/>
                        </w:rPr>
                        <w:t>米为单位累进增加</w:t>
                      </w:r>
                      <w:r>
                        <w:t>1</w:t>
                      </w:r>
                      <w:r>
                        <w:rPr>
                          <w:rFonts w:hint="eastAsia"/>
                        </w:rPr>
                        <w:t>倍计算容积率指标。”</w:t>
                      </w:r>
                    </w:p>
                    <w:p>
                      <w:pPr>
                        <w:pStyle w:val="2"/>
                        <w:ind w:firstLine="420" w:firstLineChars="200"/>
                      </w:pPr>
                      <w:r>
                        <w:rPr>
                          <w:rFonts w:hint="eastAsia"/>
                        </w:rPr>
                        <w:t>2.天津市《关于住宅多样性空间增值利用规划管理的指导意见（试行）》</w:t>
                      </w:r>
                    </w:p>
                  </w:txbxContent>
                </v:textbox>
                <w10:wrap type="square"/>
              </v:shape>
            </w:pict>
          </mc:Fallback>
        </mc:AlternateContent>
      </w:r>
      <w:r>
        <w:rPr>
          <w:rFonts w:ascii="仿宋" w:hAnsi="仿宋" w:eastAsia="仿宋"/>
          <w:kern w:val="0"/>
          <w:sz w:val="32"/>
          <w:szCs w:val="32"/>
        </w:rPr>
        <w:t>通高部分应按照实际用途开展设计，不得预留后期增加楼板、夹层及封闭空间的结构和构造，以免造成安全、消防隐患。</w:t>
      </w:r>
    </w:p>
    <w:p>
      <w:pPr>
        <w:autoSpaceDE w:val="0"/>
        <w:autoSpaceDN w:val="0"/>
        <w:adjustRightInd w:val="0"/>
        <w:ind w:firstLine="643" w:firstLineChars="200"/>
        <w:jc w:val="left"/>
        <w:rPr>
          <w:rFonts w:ascii="仿宋" w:hAnsi="仿宋" w:eastAsia="仿宋"/>
          <w:b/>
          <w:kern w:val="0"/>
          <w:sz w:val="32"/>
          <w:szCs w:val="32"/>
        </w:rPr>
      </w:pPr>
      <w:r>
        <w:rPr>
          <w:rFonts w:hint="eastAsia" w:ascii="仿宋" w:hAnsi="仿宋" w:eastAsia="仿宋"/>
          <w:b/>
          <w:kern w:val="0"/>
          <w:sz w:val="32"/>
          <w:szCs w:val="32"/>
        </w:rPr>
        <w:t>八、庭院作为中国传统民居的组成部分，既是</w:t>
      </w:r>
      <w:r>
        <w:rPr>
          <w:rFonts w:ascii="仿宋" w:hAnsi="仿宋" w:eastAsia="仿宋"/>
          <w:b/>
          <w:kern w:val="0"/>
          <w:sz w:val="32"/>
          <w:szCs w:val="32"/>
        </w:rPr>
        <w:t>人居与自然的交互纽带</w:t>
      </w:r>
      <w:r>
        <w:rPr>
          <w:rFonts w:hint="eastAsia" w:ascii="仿宋" w:hAnsi="仿宋" w:eastAsia="仿宋"/>
          <w:b/>
          <w:kern w:val="0"/>
          <w:sz w:val="32"/>
          <w:szCs w:val="32"/>
        </w:rPr>
        <w:t>，又是居住者感受丰富生活体验的空间，承载着家人群聚休闲、美化住宅、调节微气候等重要作用。居住项目设置庭院，</w:t>
      </w:r>
      <w:r>
        <w:rPr>
          <w:rFonts w:ascii="仿宋" w:hAnsi="仿宋" w:eastAsia="仿宋"/>
          <w:b/>
          <w:kern w:val="0"/>
          <w:sz w:val="32"/>
          <w:szCs w:val="32"/>
        </w:rPr>
        <w:t>有关要求如下：</w:t>
      </w:r>
    </w:p>
    <w:p>
      <w:pPr>
        <w:ind w:firstLine="600" w:firstLineChars="200"/>
        <w:outlineLvl w:val="1"/>
        <w:rPr>
          <w:sz w:val="30"/>
          <w:szCs w:val="30"/>
        </w:rPr>
      </w:pPr>
      <w:r>
        <w:rPr>
          <w:rFonts w:hint="eastAsia" w:eastAsia="仿宋_GB2312"/>
          <w:kern w:val="32"/>
          <w:sz w:val="30"/>
          <w:szCs w:val="30"/>
          <w:lang w:bidi="ar"/>
        </w:rPr>
        <w:t>建筑高度不大于36</w:t>
      </w:r>
      <w:r>
        <w:rPr>
          <w:rFonts w:eastAsia="仿宋_GB2312"/>
          <w:kern w:val="32"/>
          <w:sz w:val="30"/>
          <w:szCs w:val="30"/>
          <w:lang w:bidi="ar"/>
        </w:rPr>
        <w:t>m</w:t>
      </w:r>
      <w:r>
        <w:rPr>
          <w:rFonts w:hint="eastAsia" w:eastAsia="仿宋_GB2312"/>
          <w:kern w:val="32"/>
          <w:sz w:val="30"/>
          <w:szCs w:val="30"/>
          <w:lang w:bidi="ar"/>
        </w:rPr>
        <w:t>的住宅可设置室外专有庭院；住宅室外专有庭院不计入建筑密度、不计入绿地率；住宅室外专有庭院可设置起到景观、遮挡作用的通透性围墙，高度不大于</w:t>
      </w:r>
      <w:r>
        <w:rPr>
          <w:rFonts w:eastAsia="仿宋_GB2312"/>
          <w:kern w:val="32"/>
          <w:sz w:val="30"/>
          <w:szCs w:val="30"/>
          <w:lang w:bidi="ar"/>
        </w:rPr>
        <w:t>1.80m</w:t>
      </w:r>
      <w:r>
        <w:rPr>
          <w:rFonts w:hint="eastAsia" w:eastAsia="仿宋_GB2312"/>
          <w:kern w:val="32"/>
          <w:sz w:val="30"/>
          <w:szCs w:val="30"/>
          <w:lang w:bidi="ar"/>
        </w:rPr>
        <w:t>。住宅室外专有庭院应在建设工程设计方案中明确其界线及立面效果；当建筑层数在5层及以上时，庭院上空应设置预防高空坠物等危险行为的防护措施。</w:t>
      </w:r>
    </w:p>
    <w:p>
      <w:pPr>
        <w:ind w:firstLine="420" w:firstLineChars="200"/>
        <w:outlineLvl w:val="1"/>
        <w:rPr>
          <w:rFonts w:eastAsia="仿宋_GB2312"/>
          <w:kern w:val="32"/>
          <w:sz w:val="30"/>
          <w:szCs w:val="30"/>
          <w:lang w:bidi="ar"/>
        </w:rPr>
      </w:pPr>
      <w:r>
        <mc:AlternateContent>
          <mc:Choice Requires="wps">
            <w:drawing>
              <wp:anchor distT="0" distB="0" distL="114300" distR="114300" simplePos="0" relativeHeight="251666432" behindDoc="0" locked="0" layoutInCell="1" allowOverlap="1">
                <wp:simplePos x="0" y="0"/>
                <wp:positionH relativeFrom="column">
                  <wp:posOffset>-12065</wp:posOffset>
                </wp:positionH>
                <wp:positionV relativeFrom="paragraph">
                  <wp:posOffset>2259965</wp:posOffset>
                </wp:positionV>
                <wp:extent cx="5257165" cy="1828800"/>
                <wp:effectExtent l="4445" t="4445" r="15240" b="14605"/>
                <wp:wrapSquare wrapText="bothSides"/>
                <wp:docPr id="12" name="文本框 12"/>
                <wp:cNvGraphicFramePr/>
                <a:graphic xmlns:a="http://schemas.openxmlformats.org/drawingml/2006/main">
                  <a:graphicData uri="http://schemas.microsoft.com/office/word/2010/wordprocessingShape">
                    <wps:wsp>
                      <wps:cNvSpPr txBox="1"/>
                      <wps:spPr>
                        <a:xfrm>
                          <a:off x="0" y="0"/>
                          <a:ext cx="5257165"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参考：</w:t>
                            </w:r>
                          </w:p>
                          <w:p>
                            <w:pPr>
                              <w:pStyle w:val="2"/>
                              <w:ind w:firstLine="420" w:firstLineChars="200"/>
                            </w:pPr>
                            <w:r>
                              <w:t>1.</w:t>
                            </w:r>
                            <w:r>
                              <w:rPr>
                                <w:rFonts w:hint="eastAsia"/>
                              </w:rPr>
                              <w:t>天津市《关于住宅多样性空间增值利用规划管理的指导意见（试行）》</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95pt;margin-top:177.95pt;height:144pt;width:413.95pt;mso-wrap-distance-bottom:0pt;mso-wrap-distance-left:9pt;mso-wrap-distance-right:9pt;mso-wrap-distance-top:0pt;z-index:251666432;mso-width-relative:page;mso-height-relative:page;" fillcolor="#FFFFFF [3201]" filled="t" stroked="t" coordsize="21600,21600" o:gfxdata="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TLep7bAAAACgEAAA8AAAAAAAAAAQAgAAAAIgAAAGRycy9kb3ducmV2LnhtbFBLAQIUABQAAAAI&#10;AIdO4kDx600oXAIAALoEAAAOAAAAAAAAAAEAIAAAACoBAABkcnMvZTJvRG9jLnhtbFBLBQYAAAAA&#10;BgAGAFkBAAD4BQAAAAA=&#10;">
                <v:fill on="t" focussize="0,0"/>
                <v:stroke weight="0.5pt" color="#000000 [3204]" joinstyle="round"/>
                <v:imagedata o:title=""/>
                <o:lock v:ext="edit" aspectratio="f"/>
                <v:textbox style="mso-fit-shape-to-text:t;">
                  <w:txbxContent>
                    <w:p>
                      <w:pPr>
                        <w:pStyle w:val="2"/>
                      </w:pPr>
                      <w:r>
                        <w:rPr>
                          <w:rFonts w:hint="eastAsia"/>
                        </w:rPr>
                        <w:t>参考：</w:t>
                      </w:r>
                    </w:p>
                    <w:p>
                      <w:pPr>
                        <w:pStyle w:val="2"/>
                        <w:ind w:firstLine="420" w:firstLineChars="200"/>
                      </w:pPr>
                      <w:r>
                        <w:t>1.</w:t>
                      </w:r>
                      <w:r>
                        <w:rPr>
                          <w:rFonts w:hint="eastAsia"/>
                        </w:rPr>
                        <w:t>天津市《关于住宅多样性空间增值利用规划管理的指导意见（试行）》</w:t>
                      </w:r>
                    </w:p>
                  </w:txbxContent>
                </v:textbox>
                <w10:wrap type="square"/>
              </v:shape>
            </w:pict>
          </mc:Fallback>
        </mc:AlternateContent>
      </w:r>
      <w:r>
        <w:rPr>
          <w:rFonts w:hint="eastAsia" w:eastAsia="仿宋_GB2312"/>
          <w:kern w:val="32"/>
          <w:sz w:val="30"/>
          <w:szCs w:val="30"/>
          <w:lang w:bidi="ar"/>
        </w:rPr>
        <w:t>除入户管线外，其他设备管线、公共检修井不应敷设于住宅地下室区域；公共管线敷设于住宅室外专有庭院时，公共检修井不应敷设于此区域，应在公共区域留有检修条件；住宅多样性空间增值利用应满足国家及地方相关规范标准，满足建筑节能、防火、安全防护、日照采光、绿建、海绵等相关要求。</w:t>
      </w:r>
    </w:p>
    <w:p>
      <w:pPr>
        <w:pStyle w:val="2"/>
        <w:rPr>
          <w:lang w:bidi="ar"/>
        </w:rPr>
      </w:pPr>
    </w:p>
    <w:p>
      <w:pPr>
        <w:autoSpaceDE w:val="0"/>
        <w:autoSpaceDN w:val="0"/>
        <w:adjustRightInd w:val="0"/>
        <w:ind w:firstLine="643" w:firstLineChars="200"/>
        <w:jc w:val="left"/>
        <w:rPr>
          <w:rFonts w:ascii="仿宋" w:hAnsi="仿宋" w:eastAsia="仿宋"/>
          <w:b/>
          <w:kern w:val="0"/>
          <w:sz w:val="32"/>
          <w:szCs w:val="32"/>
        </w:rPr>
      </w:pPr>
      <w:r>
        <w:rPr>
          <w:rFonts w:hint="eastAsia" w:ascii="仿宋" w:hAnsi="仿宋" w:eastAsia="仿宋"/>
          <w:b/>
          <w:kern w:val="0"/>
          <w:sz w:val="32"/>
          <w:szCs w:val="32"/>
        </w:rPr>
        <w:t>九、鼓励建设高品质绿色建筑，推动开展绿色低碳城区建设，开发项目满足国家标准《绿色建筑评价标准》(</w:t>
      </w:r>
      <w:r>
        <w:rPr>
          <w:rFonts w:ascii="仿宋" w:hAnsi="仿宋" w:eastAsia="仿宋"/>
          <w:b/>
          <w:kern w:val="0"/>
          <w:sz w:val="32"/>
          <w:szCs w:val="32"/>
        </w:rPr>
        <w:t>GB/T50378-2019)</w:t>
      </w:r>
      <w:r>
        <w:rPr>
          <w:rFonts w:hint="eastAsia" w:ascii="仿宋" w:hAnsi="仿宋" w:eastAsia="仿宋"/>
          <w:b/>
          <w:kern w:val="0"/>
          <w:sz w:val="32"/>
          <w:szCs w:val="32"/>
        </w:rPr>
        <w:t>标准的二、三星级绿色建筑项目、满足《近零能耗建筑技术标准》</w:t>
      </w:r>
      <w:r>
        <w:rPr>
          <w:rFonts w:ascii="仿宋" w:hAnsi="仿宋" w:eastAsia="仿宋"/>
          <w:b/>
          <w:kern w:val="0"/>
          <w:sz w:val="32"/>
          <w:szCs w:val="32"/>
        </w:rPr>
        <w:t>GB/T51350-2019</w:t>
      </w:r>
      <w:r>
        <w:rPr>
          <w:rFonts w:hint="eastAsia" w:ascii="仿宋" w:hAnsi="仿宋" w:eastAsia="仿宋"/>
          <w:b/>
          <w:kern w:val="0"/>
          <w:sz w:val="32"/>
          <w:szCs w:val="32"/>
        </w:rPr>
        <w:t>标准的超低能耗及以上建筑项目，可采用以上第二、第三条有关政策。</w:t>
      </w:r>
    </w:p>
    <w:p>
      <w:pPr>
        <w:autoSpaceDE w:val="0"/>
        <w:autoSpaceDN w:val="0"/>
        <w:adjustRightInd w:val="0"/>
        <w:ind w:firstLine="643" w:firstLineChars="200"/>
        <w:jc w:val="left"/>
        <w:rPr>
          <w:rFonts w:ascii="仿宋" w:hAnsi="仿宋" w:eastAsia="仿宋"/>
          <w:b/>
          <w:kern w:val="0"/>
          <w:sz w:val="32"/>
          <w:szCs w:val="32"/>
        </w:rPr>
      </w:pPr>
      <w:r>
        <w:rPr>
          <w:rFonts w:hint="eastAsia" w:ascii="仿宋" w:hAnsi="仿宋" w:eastAsia="仿宋"/>
          <w:b/>
          <w:kern w:val="0"/>
          <w:sz w:val="32"/>
          <w:szCs w:val="32"/>
        </w:rPr>
        <w:t>十、为营造开放活力的城市公共生活空间，将生活融入街道。在满足《天津市新型居住社区城市设计导则（试行）》要求下，鼓励开发单位探索开放街区模式，在日照影响范围内没有现状日照要求建筑的，建筑间距和日照要求按照天津市试点区域进行控制，鼓励社区形态创新。</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凡是采用此模式的开发项目，可适用第二条、第三条相关创新举措。</w:t>
      </w:r>
      <w:bookmarkStart w:id="3" w:name="_Toc107238157"/>
    </w:p>
    <w:p>
      <w:pPr>
        <w:numPr>
          <w:ilvl w:val="0"/>
          <w:numId w:val="3"/>
        </w:numPr>
        <w:autoSpaceDE w:val="0"/>
        <w:autoSpaceDN w:val="0"/>
        <w:adjustRightInd w:val="0"/>
        <w:ind w:firstLine="640" w:firstLineChars="200"/>
        <w:jc w:val="left"/>
        <w:rPr>
          <w:rFonts w:ascii="仿宋" w:hAnsi="仿宋" w:eastAsia="仿宋"/>
          <w:b/>
          <w:bCs/>
          <w:kern w:val="0"/>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828800" cy="1828800"/>
                <wp:effectExtent l="4445" t="4445" r="14605" b="14605"/>
                <wp:wrapSquare wrapText="bothSides"/>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t>参考：</w:t>
                            </w:r>
                          </w:p>
                          <w:p>
                            <w:pPr>
                              <w:pStyle w:val="2"/>
                              <w:ind w:firstLine="420" w:firstLineChars="200"/>
                            </w:pPr>
                            <w:r>
                              <w:rPr>
                                <w:rFonts w:hint="eastAsia"/>
                              </w:rPr>
                              <w:t>1.《天津市新型居住社区城市设计导则（试行）》</w:t>
                            </w:r>
                          </w:p>
                          <w:p>
                            <w:pPr>
                              <w:pStyle w:val="24"/>
                              <w:ind w:firstLine="420" w:firstLineChars="200"/>
                              <w:rPr>
                                <w:rFonts w:ascii="宋体" w:eastAsia="宋体" w:cs="宋体"/>
                                <w:color w:val="auto"/>
                                <w:sz w:val="21"/>
                                <w:szCs w:val="21"/>
                              </w:rPr>
                            </w:pPr>
                            <w:r>
                              <w:rPr>
                                <w:rFonts w:hint="eastAsia" w:ascii="Times New Roman" w:eastAsia="宋体" w:cs="Times New Roman"/>
                                <w:color w:val="auto"/>
                                <w:kern w:val="2"/>
                                <w:sz w:val="21"/>
                              </w:rPr>
                              <w:t>2.天津市《建筑工程规划管理技术规范》“</w:t>
                            </w:r>
                            <w:r>
                              <w:rPr>
                                <w:rFonts w:hint="eastAsia" w:ascii="宋体" w:eastAsia="宋体" w:cs="宋体"/>
                                <w:color w:val="auto"/>
                                <w:sz w:val="21"/>
                                <w:szCs w:val="21"/>
                              </w:rPr>
                              <w:t>独立新规划片区，在日照影响范围内，没有现状日照需求建筑的，可按本文件</w:t>
                            </w:r>
                            <w:r>
                              <w:rPr>
                                <w:rFonts w:ascii="宋体" w:eastAsia="宋体" w:cs="宋体"/>
                                <w:color w:val="auto"/>
                                <w:sz w:val="21"/>
                                <w:szCs w:val="21"/>
                              </w:rPr>
                              <w:t>11.3</w:t>
                            </w:r>
                            <w:r>
                              <w:rPr>
                                <w:rFonts w:hint="eastAsia" w:ascii="宋体" w:eastAsia="宋体" w:cs="宋体"/>
                                <w:color w:val="auto"/>
                                <w:sz w:val="21"/>
                                <w:szCs w:val="21"/>
                              </w:rPr>
                              <w:t>试点区域的有关要求控制建筑间距。一般区域和试点区域由各行政区划定，并在规划条件中明确。”</w:t>
                            </w:r>
                            <w:r>
                              <w:rPr>
                                <w:rFonts w:ascii="宋体" w:eastAsia="宋体" w:cs="宋体"/>
                                <w:color w:val="auto"/>
                                <w:sz w:val="21"/>
                                <w:szCs w:val="21"/>
                              </w:rPr>
                              <w:t xml:space="preserve">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67456;mso-width-relative:page;mso-height-relative:page;" fillcolor="#FFFFFF [3201]" filled="t" stroked="t" coordsize="21600,21600" o:gfxdata="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ypHvc8AAAAFAQAADwAAAAAAAAAB&#10;ACAAAAAiAAAAZHJzL2Rvd25yZXYueG1sUEsBAhQAFAAAAAgAh07iQFwGqJZSAgAAuAQAAA4AAAAA&#10;AAAAAQAgAAAAHgEAAGRycy9lMm9Eb2MueG1sUEsFBgAAAAAGAAYAWQEAAOIFAAAAAA==&#10;">
                <v:fill on="t" focussize="0,0"/>
                <v:stroke weight="0.5pt" color="#000000 [3204]" joinstyle="round"/>
                <v:imagedata o:title=""/>
                <o:lock v:ext="edit" aspectratio="f"/>
                <v:textbox style="mso-fit-shape-to-text:t;">
                  <w:txbxContent>
                    <w:p>
                      <w:pPr>
                        <w:pStyle w:val="2"/>
                      </w:pPr>
                      <w:r>
                        <w:rPr>
                          <w:rFonts w:hint="eastAsia"/>
                        </w:rPr>
                        <w:t>参考：</w:t>
                      </w:r>
                    </w:p>
                    <w:p>
                      <w:pPr>
                        <w:pStyle w:val="2"/>
                        <w:ind w:firstLine="420" w:firstLineChars="200"/>
                      </w:pPr>
                      <w:r>
                        <w:rPr>
                          <w:rFonts w:hint="eastAsia"/>
                        </w:rPr>
                        <w:t>1.《天津市新型居住社区城市设计导则（试行）》</w:t>
                      </w:r>
                    </w:p>
                    <w:p>
                      <w:pPr>
                        <w:pStyle w:val="24"/>
                        <w:ind w:firstLine="420" w:firstLineChars="200"/>
                        <w:rPr>
                          <w:rFonts w:ascii="宋体" w:eastAsia="宋体" w:cs="宋体"/>
                          <w:color w:val="auto"/>
                          <w:sz w:val="21"/>
                          <w:szCs w:val="21"/>
                        </w:rPr>
                      </w:pPr>
                      <w:r>
                        <w:rPr>
                          <w:rFonts w:hint="eastAsia" w:ascii="Times New Roman" w:eastAsia="宋体" w:cs="Times New Roman"/>
                          <w:color w:val="auto"/>
                          <w:kern w:val="2"/>
                          <w:sz w:val="21"/>
                        </w:rPr>
                        <w:t>2.天津市《建筑工程规划管理技术规范》“</w:t>
                      </w:r>
                      <w:r>
                        <w:rPr>
                          <w:rFonts w:hint="eastAsia" w:ascii="宋体" w:eastAsia="宋体" w:cs="宋体"/>
                          <w:color w:val="auto"/>
                          <w:sz w:val="21"/>
                          <w:szCs w:val="21"/>
                        </w:rPr>
                        <w:t>独立新规划片区，在日照影响范围内，没有现状日照需求建筑的，可按本文件</w:t>
                      </w:r>
                      <w:r>
                        <w:rPr>
                          <w:rFonts w:ascii="宋体" w:eastAsia="宋体" w:cs="宋体"/>
                          <w:color w:val="auto"/>
                          <w:sz w:val="21"/>
                          <w:szCs w:val="21"/>
                        </w:rPr>
                        <w:t>11.3</w:t>
                      </w:r>
                      <w:r>
                        <w:rPr>
                          <w:rFonts w:hint="eastAsia" w:ascii="宋体" w:eastAsia="宋体" w:cs="宋体"/>
                          <w:color w:val="auto"/>
                          <w:sz w:val="21"/>
                          <w:szCs w:val="21"/>
                        </w:rPr>
                        <w:t>试点区域的有关要求控制建筑间距。一般区域和试点区域由各行政区划定，并在规划条件中明确。”</w:t>
                      </w:r>
                      <w:r>
                        <w:rPr>
                          <w:rFonts w:ascii="宋体" w:eastAsia="宋体" w:cs="宋体"/>
                          <w:color w:val="auto"/>
                          <w:sz w:val="21"/>
                          <w:szCs w:val="21"/>
                        </w:rPr>
                        <w:t xml:space="preserve"> </w:t>
                      </w:r>
                    </w:p>
                  </w:txbxContent>
                </v:textbox>
                <w10:wrap type="square"/>
              </v:shape>
            </w:pict>
          </mc:Fallback>
        </mc:AlternateContent>
      </w:r>
      <w:r>
        <w:rPr>
          <w:rFonts w:hint="eastAsia" w:ascii="仿宋" w:hAnsi="仿宋" w:eastAsia="仿宋"/>
          <w:b/>
          <w:bCs/>
          <w:kern w:val="0"/>
          <w:sz w:val="32"/>
          <w:szCs w:val="32"/>
        </w:rPr>
        <w:t>审批手续办理</w:t>
      </w:r>
    </w:p>
    <w:p>
      <w:pPr>
        <w:pStyle w:val="22"/>
        <w:widowControl/>
        <w:ind w:firstLine="600"/>
        <w:outlineLvl w:val="1"/>
        <w:rPr>
          <w:rFonts w:hint="default" w:ascii="Times New Roman"/>
          <w:sz w:val="30"/>
          <w:szCs w:val="30"/>
        </w:rPr>
      </w:pPr>
      <w:r>
        <w:rPr>
          <w:rFonts w:ascii="Times New Roman"/>
          <w:sz w:val="30"/>
          <w:szCs w:val="30"/>
        </w:rPr>
        <w:t>在核发规划条件通知书时应注明：</w:t>
      </w:r>
      <w:r>
        <w:rPr>
          <w:rFonts w:hint="default" w:ascii="Times New Roman"/>
          <w:sz w:val="30"/>
          <w:szCs w:val="30"/>
        </w:rPr>
        <w:t>“</w:t>
      </w:r>
      <w:r>
        <w:rPr>
          <w:rFonts w:ascii="Times New Roman"/>
          <w:sz w:val="30"/>
          <w:szCs w:val="30"/>
        </w:rPr>
        <w:t>鼓励按照《意见》有关要求进行规划设计创新</w:t>
      </w:r>
      <w:r>
        <w:rPr>
          <w:rFonts w:hint="default" w:ascii="Times New Roman"/>
          <w:sz w:val="30"/>
          <w:szCs w:val="30"/>
        </w:rPr>
        <w:t>”</w:t>
      </w:r>
      <w:r>
        <w:rPr>
          <w:rFonts w:ascii="Times New Roman"/>
          <w:sz w:val="30"/>
          <w:szCs w:val="30"/>
        </w:rPr>
        <w:t>。土地出让后，建设单位应按照规划条件要求进行方案设计，涉及住宅坡屋顶空间、住宅地下室空间需补缴土地出让金的，按照市规划资源局</w:t>
      </w:r>
      <w:r>
        <w:t>《关于住宅多样性空间增值利用规划管理的指导意见（试行）》</w:t>
      </w:r>
      <w:r>
        <w:rPr>
          <w:rFonts w:ascii="Times New Roman"/>
          <w:sz w:val="30"/>
          <w:szCs w:val="30"/>
        </w:rPr>
        <w:t>有关要求执行，住宅类以外的建筑坡屋顶空间、地下室空间可参照执行。</w:t>
      </w:r>
    </w:p>
    <w:p>
      <w:pPr>
        <w:autoSpaceDE w:val="0"/>
        <w:autoSpaceDN w:val="0"/>
        <w:adjustRightInd w:val="0"/>
        <w:jc w:val="left"/>
        <w:rPr>
          <w:rFonts w:ascii="仿宋" w:hAnsi="仿宋" w:eastAsia="仿宋"/>
          <w:kern w:val="0"/>
          <w:sz w:val="32"/>
          <w:szCs w:val="32"/>
        </w:rPr>
      </w:pPr>
      <w:r>
        <w:rPr>
          <w:rFonts w:hint="eastAsia" w:ascii="仿宋" w:hAnsi="仿宋" w:eastAsia="仿宋"/>
          <w:kern w:val="0"/>
          <w:sz w:val="32"/>
          <w:szCs w:val="32"/>
        </w:rPr>
        <w:t xml:space="preserve">    </w:t>
      </w:r>
      <w:r>
        <w:rPr>
          <w:rFonts w:hint="eastAsia" w:eastAsia="仿宋_GB2312"/>
          <w:kern w:val="32"/>
          <w:sz w:val="30"/>
          <w:szCs w:val="30"/>
          <w:lang w:bidi="ar"/>
        </w:rPr>
        <w:t>建设工程设计方案技术经济指标表和建筑面积计算表中予以明确屋顶容积率奖励面积及奖励面积占该建筑计容建筑面积比例，架空平台建筑面积（其中包括有效面积、停车空间面积），兼容性建筑面积、地下经营性建筑面积（</w:t>
      </w:r>
      <w:r>
        <w:rPr>
          <w:rFonts w:hint="eastAsia" w:ascii="仿宋" w:hAnsi="仿宋" w:eastAsia="仿宋"/>
          <w:kern w:val="0"/>
          <w:sz w:val="32"/>
          <w:szCs w:val="32"/>
        </w:rPr>
        <w:t>住宅单元的地下空间增值利用部分建筑面积</w:t>
      </w:r>
      <w:r>
        <w:rPr>
          <w:rFonts w:hint="eastAsia" w:eastAsia="仿宋_GB2312"/>
          <w:kern w:val="32"/>
          <w:sz w:val="30"/>
          <w:szCs w:val="30"/>
          <w:lang w:bidi="ar"/>
        </w:rPr>
        <w:t>）等，并在规划总平面当中明确标注各类面积所在位置示意图，在建设工程规划许可阶段进行审核。</w:t>
      </w:r>
    </w:p>
    <w:p>
      <w:pPr>
        <w:autoSpaceDE w:val="0"/>
        <w:autoSpaceDN w:val="0"/>
        <w:adjustRightInd w:val="0"/>
        <w:ind w:firstLine="643" w:firstLineChars="200"/>
        <w:jc w:val="left"/>
        <w:rPr>
          <w:rFonts w:ascii="仿宋" w:hAnsi="仿宋" w:eastAsia="仿宋"/>
          <w:b/>
          <w:kern w:val="0"/>
          <w:sz w:val="32"/>
          <w:szCs w:val="32"/>
        </w:rPr>
      </w:pPr>
      <w:r>
        <w:rPr>
          <w:rFonts w:hint="eastAsia" w:ascii="仿宋" w:hAnsi="仿宋" w:eastAsia="仿宋"/>
          <w:b/>
          <w:kern w:val="0"/>
          <w:sz w:val="32"/>
          <w:szCs w:val="32"/>
        </w:rPr>
        <w:t>十一、加强监督管理工作。</w:t>
      </w:r>
      <w:bookmarkEnd w:id="3"/>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（一）、建设单位应本着提高建筑设计水平、提升建筑品质的原则，组织设计单位做好设计编制工作。</w:t>
      </w:r>
    </w:p>
    <w:p>
      <w:pPr>
        <w:autoSpaceDE w:val="0"/>
        <w:autoSpaceDN w:val="0"/>
        <w:adjustRightInd w:val="0"/>
        <w:ind w:firstLine="640" w:firstLineChars="200"/>
        <w:jc w:val="left"/>
        <w:rPr>
          <w:rFonts w:ascii="仿宋" w:hAnsi="仿宋" w:eastAsia="仿宋"/>
          <w:b/>
          <w:kern w:val="0"/>
          <w:sz w:val="32"/>
          <w:szCs w:val="32"/>
        </w:rPr>
      </w:pPr>
      <w:r>
        <w:rPr>
          <w:rFonts w:hint="eastAsia" w:ascii="仿宋" w:hAnsi="仿宋" w:eastAsia="仿宋"/>
          <w:kern w:val="0"/>
          <w:sz w:val="32"/>
          <w:szCs w:val="32"/>
        </w:rPr>
        <w:t>不得通过潜伏设计为增加建筑面积、改变使用性质创造条件。本意见涉及的架空平台、坡屋顶积、露台、阳台、地下室、挑空空间、庭院等由项目实施主体、设计单位、施工单位、测绘单位按照相关规范设计、建设、测量，不得虚假设计、施工、测量。项目实施主体负总责任，设计单位、施工单位、测绘单位对真实性、准确性、合规性各负其责。项目实施主体有失信行为的，将其纳入工程建设项目审批信用管理信息平台，归集至天津市行政机关联合奖惩监管系统，按照“一处失信、处处受制”的原则实施联合惩戒。违法建设实物予以没收处置。</w:t>
      </w:r>
    </w:p>
    <w:p>
      <w:pPr>
        <w:autoSpaceDE w:val="0"/>
        <w:autoSpaceDN w:val="0"/>
        <w:adjustRightInd w:val="0"/>
        <w:ind w:firstLine="640" w:firstLineChars="200"/>
        <w:jc w:val="left"/>
        <w:rPr>
          <w:rFonts w:ascii="仿宋" w:hAnsi="仿宋" w:eastAsia="仿宋"/>
          <w:b/>
          <w:kern w:val="0"/>
          <w:sz w:val="32"/>
          <w:szCs w:val="32"/>
        </w:rPr>
      </w:pPr>
      <w:r>
        <w:rPr>
          <w:rFonts w:hint="eastAsia" w:ascii="仿宋" w:hAnsi="仿宋" w:eastAsia="仿宋"/>
          <w:kern w:val="0"/>
          <w:sz w:val="32"/>
          <w:szCs w:val="32"/>
        </w:rPr>
        <w:t>规划</w:t>
      </w:r>
      <w:r>
        <w:rPr>
          <w:rFonts w:ascii="仿宋" w:hAnsi="仿宋" w:eastAsia="仿宋"/>
          <w:kern w:val="0"/>
          <w:sz w:val="32"/>
          <w:szCs w:val="32"/>
        </w:rPr>
        <w:t>资源管理部门</w:t>
      </w:r>
      <w:r>
        <w:rPr>
          <w:rFonts w:hint="eastAsia" w:ascii="仿宋" w:hAnsi="仿宋" w:eastAsia="仿宋"/>
          <w:kern w:val="0"/>
          <w:sz w:val="32"/>
          <w:szCs w:val="32"/>
        </w:rPr>
        <w:t>应当定期</w:t>
      </w:r>
      <w:r>
        <w:rPr>
          <w:rFonts w:ascii="仿宋" w:hAnsi="仿宋" w:eastAsia="仿宋"/>
          <w:kern w:val="0"/>
          <w:sz w:val="32"/>
          <w:szCs w:val="32"/>
        </w:rPr>
        <w:t>对采用《</w:t>
      </w:r>
      <w:r>
        <w:rPr>
          <w:rFonts w:hint="eastAsia" w:ascii="仿宋" w:hAnsi="仿宋" w:eastAsia="仿宋"/>
          <w:kern w:val="0"/>
          <w:sz w:val="32"/>
          <w:szCs w:val="32"/>
        </w:rPr>
        <w:t>意见</w:t>
      </w:r>
      <w:r>
        <w:rPr>
          <w:rFonts w:ascii="仿宋" w:hAnsi="仿宋" w:eastAsia="仿宋"/>
          <w:kern w:val="0"/>
          <w:sz w:val="32"/>
          <w:szCs w:val="32"/>
        </w:rPr>
        <w:t>》</w:t>
      </w:r>
      <w:r>
        <w:rPr>
          <w:rFonts w:hint="eastAsia" w:ascii="仿宋" w:hAnsi="仿宋" w:eastAsia="仿宋"/>
          <w:kern w:val="0"/>
          <w:sz w:val="32"/>
          <w:szCs w:val="32"/>
        </w:rPr>
        <w:t>有关创新</w:t>
      </w:r>
      <w:r>
        <w:rPr>
          <w:rFonts w:ascii="仿宋" w:hAnsi="仿宋" w:eastAsia="仿宋"/>
          <w:kern w:val="0"/>
          <w:sz w:val="32"/>
          <w:szCs w:val="32"/>
        </w:rPr>
        <w:t>举措的建设项目进行统计梳理</w:t>
      </w:r>
      <w:r>
        <w:rPr>
          <w:rFonts w:hint="eastAsia" w:ascii="仿宋" w:hAnsi="仿宋" w:eastAsia="仿宋"/>
          <w:kern w:val="0"/>
          <w:sz w:val="32"/>
          <w:szCs w:val="32"/>
        </w:rPr>
        <w:t>、</w:t>
      </w:r>
      <w:r>
        <w:rPr>
          <w:rFonts w:ascii="仿宋" w:hAnsi="仿宋" w:eastAsia="仿宋"/>
          <w:kern w:val="0"/>
          <w:sz w:val="32"/>
          <w:szCs w:val="32"/>
        </w:rPr>
        <w:t>统计，</w:t>
      </w:r>
      <w:r>
        <w:rPr>
          <w:rFonts w:hint="eastAsia" w:ascii="仿宋" w:hAnsi="仿宋" w:eastAsia="仿宋"/>
          <w:kern w:val="0"/>
          <w:sz w:val="32"/>
          <w:szCs w:val="32"/>
        </w:rPr>
        <w:t>加强监督</w:t>
      </w:r>
      <w:r>
        <w:rPr>
          <w:rFonts w:ascii="仿宋" w:hAnsi="仿宋" w:eastAsia="仿宋"/>
          <w:kern w:val="0"/>
          <w:sz w:val="32"/>
          <w:szCs w:val="32"/>
        </w:rPr>
        <w:t>和指导。</w:t>
      </w:r>
    </w:p>
    <w:p>
      <w:pPr>
        <w:autoSpaceDE w:val="0"/>
        <w:autoSpaceDN w:val="0"/>
        <w:adjustRightInd w:val="0"/>
        <w:ind w:firstLine="640" w:firstLineChars="200"/>
        <w:jc w:val="left"/>
        <w:rPr>
          <w:rFonts w:ascii="仿宋" w:hAnsi="仿宋" w:eastAsia="仿宋"/>
          <w:b/>
          <w:kern w:val="0"/>
          <w:sz w:val="32"/>
          <w:szCs w:val="32"/>
        </w:rPr>
      </w:pPr>
      <w:r>
        <w:rPr>
          <w:rFonts w:hint="eastAsia" w:ascii="仿宋" w:hAnsi="仿宋" w:eastAsia="仿宋"/>
          <w:kern w:val="0"/>
          <w:sz w:val="32"/>
          <w:szCs w:val="32"/>
        </w:rPr>
        <w:t>（二）使用本《意见》进行开发建设的项目，建设单位应当在开发项目主入口醒目处设置公告栏用于悬挂加盖规划审批部门业务专用章的规划总平面图及建筑图纸，长期展示，不得擅自取消。</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三）按照规划要求设计住宅室外专有庭院的，由房地产开发企业将相关权利义务纳入房屋买卖合同附加条款，同时约束私自加建、损害他人合法权益不良行为。规划验收合格并投入使用后，房屋产权人不得私自对本规定涉及的建筑内部结构进行改造，违反上述要求的应承担相应法律责任。</w:t>
      </w:r>
    </w:p>
    <w:p>
      <w:pPr>
        <w:pStyle w:val="2"/>
        <w:ind w:firstLine="640" w:firstLineChars="200"/>
        <w:rPr>
          <w:rFonts w:ascii="仿宋" w:hAnsi="仿宋" w:eastAsia="仿宋"/>
          <w:kern w:val="0"/>
          <w:sz w:val="32"/>
          <w:szCs w:val="32"/>
        </w:rPr>
      </w:pPr>
      <w:r>
        <w:rPr>
          <w:rFonts w:hint="eastAsia" w:ascii="仿宋" w:hAnsi="仿宋" w:eastAsia="仿宋"/>
          <w:kern w:val="0"/>
          <w:sz w:val="32"/>
          <w:szCs w:val="32"/>
        </w:rPr>
        <w:t>（四）屋顶花园（露台）但属于整个园区的景观之一，是整体形象的一部分，其仅作为业主休息休闲、观赏景色等活动，不可私搭乱建，不可改变其用途。违反上述要求的应承担相应法律责任。</w:t>
      </w:r>
    </w:p>
    <w:p>
      <w:pPr>
        <w:autoSpaceDE w:val="0"/>
        <w:autoSpaceDN w:val="0"/>
        <w:adjustRightInd w:val="0"/>
        <w:ind w:firstLine="643" w:firstLineChars="200"/>
        <w:jc w:val="left"/>
        <w:rPr>
          <w:rFonts w:ascii="仿宋" w:hAnsi="仿宋" w:eastAsia="仿宋"/>
          <w:b/>
          <w:bCs/>
          <w:kern w:val="0"/>
          <w:sz w:val="32"/>
          <w:szCs w:val="32"/>
        </w:rPr>
      </w:pPr>
      <w:r>
        <w:rPr>
          <w:rFonts w:hint="eastAsia" w:ascii="仿宋" w:hAnsi="仿宋" w:eastAsia="仿宋"/>
          <w:b/>
          <w:kern w:val="0"/>
          <w:sz w:val="32"/>
          <w:szCs w:val="32"/>
        </w:rPr>
        <w:t>十二、</w:t>
      </w:r>
      <w:r>
        <w:rPr>
          <w:rFonts w:hint="eastAsia" w:ascii="仿宋" w:hAnsi="仿宋" w:eastAsia="仿宋"/>
          <w:b/>
          <w:bCs/>
          <w:kern w:val="0"/>
          <w:sz w:val="32"/>
          <w:szCs w:val="32"/>
        </w:rPr>
        <w:t>本《意见》自印发之日起，在滨海新区范围内宗地内未核发过建设工程规划许可证的开发项目按照本《意见》执行；对于已经核发建设工程规划许可证但尚未办理销售许可证的开发项目，整宗土地具备按照《意见》有关创新举措进行调整的开发项目（不得以因规划调整作为开竣工延期原因），也可按照《意见》执行。《意见》印发前，按照《意见》（试行）已经核发建设工程规划许可证的开发项目按照原要求执行。</w:t>
      </w:r>
    </w:p>
    <w:p>
      <w:pPr>
        <w:autoSpaceDE w:val="0"/>
        <w:autoSpaceDN w:val="0"/>
        <w:adjustRightInd w:val="0"/>
        <w:ind w:firstLine="640" w:firstLineChars="200"/>
        <w:jc w:val="left"/>
        <w:rPr>
          <w:rFonts w:ascii="仿宋" w:hAnsi="仿宋" w:eastAsia="仿宋"/>
          <w:kern w:val="0"/>
          <w:sz w:val="32"/>
          <w:szCs w:val="32"/>
        </w:rPr>
      </w:pPr>
      <w:r>
        <w:rPr>
          <w:rFonts w:hint="eastAsia" w:ascii="仿宋" w:hAnsi="仿宋" w:eastAsia="仿宋"/>
          <w:kern w:val="0"/>
          <w:sz w:val="32"/>
          <w:szCs w:val="32"/>
        </w:rPr>
        <w:t>其他未约定事项，按国家及天津市有关规定执行。本意见有效期三年。</w:t>
      </w:r>
    </w:p>
    <w:p>
      <w:pPr>
        <w:ind w:firstLine="200"/>
        <w:jc w:val="left"/>
        <w:rPr>
          <w:rFonts w:ascii="仿宋" w:hAnsi="仿宋" w:eastAsia="仿宋" w:cs="仿宋_GB2312"/>
          <w:sz w:val="30"/>
          <w:szCs w:val="30"/>
        </w:rPr>
      </w:pPr>
    </w:p>
    <w:p>
      <w:pPr>
        <w:ind w:firstLine="200"/>
        <w:jc w:val="left"/>
        <w:rPr>
          <w:rFonts w:ascii="仿宋" w:hAnsi="仿宋" w:eastAsia="仿宋" w:cs="仿宋_GB2312"/>
          <w:sz w:val="30"/>
          <w:szCs w:val="30"/>
        </w:rPr>
      </w:pPr>
    </w:p>
    <w:p>
      <w:pPr>
        <w:ind w:firstLine="200"/>
        <w:jc w:val="left"/>
        <w:rPr>
          <w:rFonts w:ascii="仿宋" w:hAnsi="仿宋" w:eastAsia="仿宋" w:cs="仿宋_GB2312"/>
          <w:sz w:val="30"/>
          <w:szCs w:val="30"/>
        </w:rPr>
      </w:pPr>
    </w:p>
    <w:p>
      <w:pPr>
        <w:ind w:firstLine="200"/>
        <w:jc w:val="left"/>
        <w:rPr>
          <w:rFonts w:ascii="仿宋" w:hAnsi="仿宋" w:eastAsia="仿宋" w:cs="仿宋_GB2312"/>
          <w:sz w:val="30"/>
          <w:szCs w:val="30"/>
        </w:rPr>
      </w:pPr>
    </w:p>
    <w:p>
      <w:pPr>
        <w:ind w:firstLine="200"/>
        <w:jc w:val="left"/>
        <w:rPr>
          <w:rFonts w:ascii="仿宋" w:hAnsi="仿宋" w:eastAsia="仿宋" w:cs="仿宋_GB2312"/>
          <w:sz w:val="30"/>
          <w:szCs w:val="30"/>
        </w:rPr>
      </w:pPr>
    </w:p>
    <w:p>
      <w:pPr>
        <w:ind w:firstLine="200"/>
        <w:jc w:val="left"/>
        <w:rPr>
          <w:rFonts w:ascii="仿宋" w:hAnsi="仿宋" w:eastAsia="仿宋" w:cs="仿宋_GB2312"/>
          <w:sz w:val="30"/>
          <w:szCs w:val="30"/>
        </w:rPr>
      </w:pPr>
    </w:p>
    <w:p>
      <w:pPr>
        <w:ind w:firstLine="200"/>
        <w:jc w:val="left"/>
        <w:rPr>
          <w:rFonts w:ascii="仿宋" w:hAnsi="仿宋" w:eastAsia="仿宋" w:cs="仿宋_GB2312"/>
          <w:sz w:val="30"/>
          <w:szCs w:val="30"/>
        </w:rPr>
      </w:pPr>
    </w:p>
    <w:p>
      <w:pPr>
        <w:jc w:val="left"/>
        <w:rPr>
          <w:rFonts w:ascii="仿宋" w:hAnsi="仿宋" w:eastAsia="仿宋" w:cs="仿宋_GB2312"/>
          <w:sz w:val="30"/>
          <w:szCs w:val="30"/>
        </w:rPr>
      </w:pPr>
      <w:r>
        <w:rPr>
          <w:rFonts w:hint="eastAsia" w:ascii="仿宋" w:hAnsi="仿宋" w:eastAsia="仿宋" w:cs="仿宋_GB2312"/>
          <w:sz w:val="30"/>
          <w:szCs w:val="30"/>
        </w:rPr>
        <w:t>附图一</w:t>
      </w:r>
    </w:p>
    <w:p>
      <w:pPr>
        <w:ind w:firstLine="200"/>
        <w:jc w:val="left"/>
        <w:rPr>
          <w:rFonts w:ascii="仿宋" w:hAnsi="仿宋" w:eastAsia="仿宋" w:cs="仿宋_GB2312"/>
          <w:sz w:val="30"/>
          <w:szCs w:val="30"/>
        </w:rPr>
      </w:pPr>
      <w:r>
        <w:rPr>
          <w:rFonts w:ascii="仿宋" w:hAnsi="仿宋" w:eastAsia="仿宋"/>
          <w:kern w:val="0"/>
          <w:sz w:val="32"/>
          <w:szCs w:val="32"/>
        </w:rPr>
        <w:drawing>
          <wp:anchor distT="0" distB="0" distL="114300" distR="114300" simplePos="0" relativeHeight="251669504" behindDoc="1" locked="0" layoutInCell="1" allowOverlap="1">
            <wp:simplePos x="0" y="0"/>
            <wp:positionH relativeFrom="margin">
              <wp:posOffset>-2540</wp:posOffset>
            </wp:positionH>
            <wp:positionV relativeFrom="paragraph">
              <wp:posOffset>161290</wp:posOffset>
            </wp:positionV>
            <wp:extent cx="5273675" cy="3698240"/>
            <wp:effectExtent l="0" t="0" r="3175" b="1651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a:extLst>
                        <a:ext uri="{28A0092B-C50C-407E-A947-70E740481C1C}">
                          <a14:useLocalDpi xmlns:a14="http://schemas.microsoft.com/office/drawing/2010/main" val="0"/>
                        </a:ext>
                      </a:extLst>
                    </a:blip>
                    <a:srcRect r="19774"/>
                    <a:stretch>
                      <a:fillRect/>
                    </a:stretch>
                  </pic:blipFill>
                  <pic:spPr>
                    <a:xfrm>
                      <a:off x="0" y="0"/>
                      <a:ext cx="5273675" cy="3698240"/>
                    </a:xfrm>
                    <a:prstGeom prst="rect">
                      <a:avLst/>
                    </a:prstGeom>
                    <a:noFill/>
                  </pic:spPr>
                </pic:pic>
              </a:graphicData>
            </a:graphic>
          </wp:anchor>
        </w:drawing>
      </w:r>
    </w:p>
    <w:p>
      <w:pPr>
        <w:rPr>
          <w:rFonts w:ascii="仿宋" w:hAnsi="仿宋" w:eastAsia="仿宋" w:cs="仿宋_GB2312"/>
          <w:sz w:val="30"/>
          <w:szCs w:val="30"/>
        </w:rPr>
      </w:pPr>
      <w:r>
        <w:drawing>
          <wp:anchor distT="0" distB="0" distL="0" distR="0" simplePos="0" relativeHeight="251668480" behindDoc="0" locked="0" layoutInCell="1" allowOverlap="1">
            <wp:simplePos x="0" y="0"/>
            <wp:positionH relativeFrom="column">
              <wp:posOffset>-13970</wp:posOffset>
            </wp:positionH>
            <wp:positionV relativeFrom="page">
              <wp:posOffset>5984240</wp:posOffset>
            </wp:positionV>
            <wp:extent cx="5274310" cy="2966720"/>
            <wp:effectExtent l="0" t="0" r="2540" b="508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2966720"/>
                    </a:xfrm>
                    <a:prstGeom prst="rect">
                      <a:avLst/>
                    </a:prstGeom>
                    <a:noFill/>
                    <a:ln>
                      <a:noFill/>
                    </a:ln>
                  </pic:spPr>
                </pic:pic>
              </a:graphicData>
            </a:graphic>
          </wp:anchor>
        </w:drawing>
      </w:r>
      <w:r>
        <w:rPr>
          <w:rFonts w:hint="eastAsia" w:ascii="仿宋" w:hAnsi="仿宋" w:eastAsia="仿宋" w:cs="仿宋_GB2312"/>
          <w:sz w:val="30"/>
          <w:szCs w:val="30"/>
        </w:rPr>
        <w:t>附图二</w:t>
      </w:r>
    </w:p>
    <w:p>
      <w:pPr>
        <w:pStyle w:val="2"/>
      </w:pPr>
    </w:p>
    <w:p/>
    <w:p>
      <w:pPr>
        <w:pStyle w:val="2"/>
      </w:pPr>
      <w:bookmarkStart w:id="4" w:name="_GoBack"/>
      <w:bookmarkEnd w:id="4"/>
    </w:p>
    <w:p>
      <w:r>
        <w:rPr>
          <w:rFonts w:hint="eastAsia" w:ascii="仿宋" w:hAnsi="仿宋" w:eastAsia="仿宋" w:cs="仿宋_GB2312"/>
          <w:sz w:val="30"/>
          <w:szCs w:val="30"/>
        </w:rPr>
        <w:t>附图三</w:t>
      </w:r>
    </w:p>
    <w:p>
      <w:pPr>
        <w:ind w:firstLine="200"/>
        <w:jc w:val="left"/>
        <w:rPr>
          <w:rFonts w:ascii="仿宋" w:hAnsi="仿宋" w:eastAsia="仿宋" w:cs="仿宋_GB2312"/>
          <w:sz w:val="30"/>
          <w:szCs w:val="30"/>
        </w:rPr>
      </w:pPr>
      <w:r>
        <w:rPr>
          <w:rFonts w:ascii="仿宋" w:hAnsi="仿宋" w:eastAsia="仿宋"/>
        </w:rPr>
        <w:drawing>
          <wp:inline distT="0" distB="0" distL="0" distR="0">
            <wp:extent cx="3196590" cy="3498850"/>
            <wp:effectExtent l="0" t="0" r="381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96590" cy="3498850"/>
                    </a:xfrm>
                    <a:prstGeom prst="rect">
                      <a:avLst/>
                    </a:prstGeom>
                    <a:noFill/>
                    <a:ln>
                      <a:noFill/>
                    </a:ln>
                  </pic:spPr>
                </pic:pic>
              </a:graphicData>
            </a:graphic>
          </wp:inline>
        </w:drawing>
      </w:r>
    </w:p>
    <w:p>
      <w:pPr>
        <w:ind w:firstLine="200"/>
        <w:jc w:val="left"/>
        <w:rPr>
          <w:rFonts w:ascii="仿宋" w:hAnsi="仿宋" w:eastAsia="仿宋" w:cs="仿宋_GB2312"/>
          <w:sz w:val="30"/>
          <w:szCs w:val="30"/>
        </w:rPr>
      </w:pPr>
      <w:r>
        <w:rPr>
          <w:rFonts w:hint="eastAsia" w:ascii="仿宋" w:hAnsi="仿宋" w:eastAsia="仿宋" w:cs="仿宋_GB2312"/>
          <w:sz w:val="30"/>
          <w:szCs w:val="30"/>
        </w:rPr>
        <w:t>注：S</w:t>
      </w:r>
      <w:r>
        <w:rPr>
          <w:rFonts w:ascii="仿宋" w:hAnsi="仿宋" w:eastAsia="仿宋" w:cs="仿宋_GB2312"/>
          <w:sz w:val="30"/>
          <w:szCs w:val="30"/>
          <w:vertAlign w:val="subscript"/>
        </w:rPr>
        <w:t>1</w:t>
      </w:r>
      <w:r>
        <w:rPr>
          <w:rFonts w:hint="eastAsia" w:ascii="仿宋" w:hAnsi="仿宋" w:eastAsia="仿宋" w:cs="仿宋_GB2312"/>
          <w:sz w:val="30"/>
          <w:szCs w:val="30"/>
        </w:rPr>
        <w:t xml:space="preserve">  单栋建筑奖励建筑面积（不计入容积率）；</w:t>
      </w:r>
    </w:p>
    <w:p>
      <w:pPr>
        <w:ind w:firstLine="200"/>
        <w:jc w:val="left"/>
        <w:rPr>
          <w:rFonts w:ascii="仿宋" w:hAnsi="仿宋" w:eastAsia="仿宋" w:cs="仿宋_GB2312"/>
          <w:sz w:val="30"/>
          <w:szCs w:val="30"/>
        </w:rPr>
      </w:pPr>
      <w:r>
        <w:rPr>
          <w:rFonts w:hint="eastAsia" w:ascii="仿宋" w:hAnsi="仿宋" w:eastAsia="仿宋" w:cs="仿宋_GB2312"/>
          <w:sz w:val="30"/>
          <w:szCs w:val="30"/>
        </w:rPr>
        <w:t>S</w:t>
      </w:r>
      <w:r>
        <w:rPr>
          <w:rFonts w:ascii="仿宋" w:hAnsi="仿宋" w:eastAsia="仿宋" w:cs="仿宋_GB2312"/>
          <w:sz w:val="30"/>
          <w:szCs w:val="30"/>
          <w:vertAlign w:val="subscript"/>
        </w:rPr>
        <w:t>2</w:t>
      </w:r>
      <w:r>
        <w:rPr>
          <w:rFonts w:hint="eastAsia" w:ascii="仿宋" w:hAnsi="仿宋" w:eastAsia="仿宋" w:cs="仿宋_GB2312"/>
          <w:sz w:val="30"/>
          <w:szCs w:val="30"/>
        </w:rPr>
        <w:t xml:space="preserve">  单栋建筑地上计容建筑面积；</w:t>
      </w:r>
    </w:p>
    <w:p>
      <w:pPr>
        <w:ind w:firstLine="200"/>
        <w:jc w:val="left"/>
        <w:rPr>
          <w:rFonts w:ascii="仿宋" w:hAnsi="仿宋" w:eastAsia="仿宋" w:cs="仿宋_GB2312"/>
          <w:sz w:val="30"/>
          <w:szCs w:val="30"/>
        </w:rPr>
      </w:pPr>
      <w:r>
        <w:rPr>
          <w:rFonts w:hint="eastAsia" w:ascii="仿宋" w:hAnsi="仿宋" w:eastAsia="仿宋" w:cs="仿宋_GB2312"/>
          <w:sz w:val="30"/>
          <w:szCs w:val="30"/>
        </w:rPr>
        <w:t>建筑面积按照国家规范计算；</w:t>
      </w:r>
    </w:p>
    <w:p>
      <w:pPr>
        <w:ind w:firstLine="200"/>
        <w:jc w:val="left"/>
        <w:rPr>
          <w:rFonts w:ascii="仿宋" w:hAnsi="仿宋" w:eastAsia="仿宋" w:cs="仿宋_GB2312"/>
          <w:sz w:val="30"/>
          <w:szCs w:val="30"/>
        </w:rPr>
      </w:pPr>
      <w:r>
        <w:rPr>
          <w:rFonts w:hint="eastAsia" w:ascii="仿宋" w:hAnsi="仿宋" w:eastAsia="仿宋" w:cs="仿宋_GB2312"/>
          <w:sz w:val="30"/>
          <w:szCs w:val="30"/>
        </w:rPr>
        <w:t>S</w:t>
      </w:r>
      <w:r>
        <w:rPr>
          <w:rFonts w:ascii="仿宋" w:hAnsi="仿宋" w:eastAsia="仿宋" w:cs="仿宋_GB2312"/>
          <w:sz w:val="30"/>
          <w:szCs w:val="30"/>
          <w:vertAlign w:val="subscript"/>
        </w:rPr>
        <w:t>1</w:t>
      </w:r>
      <w:r>
        <w:rPr>
          <w:rFonts w:hint="eastAsia" w:ascii="仿宋" w:hAnsi="仿宋" w:eastAsia="仿宋" w:cs="仿宋_GB2312"/>
          <w:sz w:val="30"/>
          <w:szCs w:val="30"/>
        </w:rPr>
        <w:t xml:space="preserve"> /S</w:t>
      </w:r>
      <w:r>
        <w:rPr>
          <w:rFonts w:ascii="仿宋" w:hAnsi="仿宋" w:eastAsia="仿宋" w:cs="仿宋_GB2312"/>
          <w:sz w:val="30"/>
          <w:szCs w:val="30"/>
          <w:vertAlign w:val="subscript"/>
        </w:rPr>
        <w:t xml:space="preserve">2 </w:t>
      </w:r>
      <w:r>
        <w:rPr>
          <w:rFonts w:hint="eastAsia" w:ascii="仿宋" w:hAnsi="仿宋" w:eastAsia="仿宋" w:cs="仿宋_GB2312"/>
          <w:sz w:val="30"/>
          <w:szCs w:val="30"/>
        </w:rPr>
        <w:t>≤20%；</w:t>
      </w:r>
    </w:p>
    <w:p>
      <w:pPr>
        <w:ind w:firstLine="200"/>
        <w:jc w:val="left"/>
        <w:rPr>
          <w:rFonts w:ascii="仿宋" w:hAnsi="仿宋" w:eastAsia="仿宋" w:cs="仿宋_GB2312"/>
          <w:sz w:val="30"/>
          <w:szCs w:val="30"/>
        </w:rPr>
      </w:pPr>
      <w:r>
        <w:rPr>
          <w:rFonts w:hint="eastAsia" w:ascii="仿宋" w:hAnsi="仿宋" w:eastAsia="仿宋" w:cs="仿宋_GB2312"/>
          <w:sz w:val="30"/>
          <w:szCs w:val="30"/>
        </w:rPr>
        <w:t>补缴土地出让金的建筑面积=(∑S</w:t>
      </w:r>
      <w:r>
        <w:rPr>
          <w:rFonts w:ascii="仿宋" w:hAnsi="仿宋" w:eastAsia="仿宋" w:cs="仿宋_GB2312"/>
          <w:sz w:val="30"/>
          <w:szCs w:val="30"/>
          <w:vertAlign w:val="subscript"/>
        </w:rPr>
        <w:t>1</w:t>
      </w:r>
      <w:r>
        <w:rPr>
          <w:rFonts w:hint="eastAsia" w:ascii="仿宋" w:hAnsi="仿宋" w:eastAsia="仿宋" w:cs="仿宋_GB2312"/>
          <w:sz w:val="30"/>
          <w:szCs w:val="30"/>
        </w:rPr>
        <w:t xml:space="preserve"> +∑S</w:t>
      </w:r>
      <w:r>
        <w:rPr>
          <w:rFonts w:ascii="仿宋" w:hAnsi="仿宋" w:eastAsia="仿宋" w:cs="仿宋_GB2312"/>
          <w:sz w:val="30"/>
          <w:szCs w:val="30"/>
          <w:vertAlign w:val="subscript"/>
        </w:rPr>
        <w:t>2</w:t>
      </w:r>
      <w:r>
        <w:rPr>
          <w:rFonts w:hint="eastAsia" w:ascii="仿宋" w:hAnsi="仿宋" w:eastAsia="仿宋" w:cs="仿宋_GB2312"/>
          <w:sz w:val="30"/>
          <w:szCs w:val="30"/>
        </w:rPr>
        <w:t>)-规划条件允许建筑面积上限。</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252C6"/>
    <w:multiLevelType w:val="singleLevel"/>
    <w:tmpl w:val="9FC252C6"/>
    <w:lvl w:ilvl="0" w:tentative="0">
      <w:start w:val="5"/>
      <w:numFmt w:val="chineseCounting"/>
      <w:suff w:val="nothing"/>
      <w:lvlText w:val="%1、"/>
      <w:lvlJc w:val="left"/>
      <w:rPr>
        <w:rFonts w:hint="eastAsia"/>
      </w:rPr>
    </w:lvl>
  </w:abstractNum>
  <w:abstractNum w:abstractNumId="1">
    <w:nsid w:val="0C391DFD"/>
    <w:multiLevelType w:val="multilevel"/>
    <w:tmpl w:val="0C391DFD"/>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41F7CB45"/>
    <w:multiLevelType w:val="singleLevel"/>
    <w:tmpl w:val="41F7CB45"/>
    <w:lvl w:ilvl="0" w:tentative="0">
      <w:start w:val="1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1MzAxMzFlYTMzNjY3Y2E4MWE2NWI2ZDRhNGExMzIifQ=="/>
  </w:docVars>
  <w:rsids>
    <w:rsidRoot w:val="00494190"/>
    <w:rsid w:val="0000424E"/>
    <w:rsid w:val="00052D15"/>
    <w:rsid w:val="00075CEF"/>
    <w:rsid w:val="000A1D14"/>
    <w:rsid w:val="000E063F"/>
    <w:rsid w:val="0014245B"/>
    <w:rsid w:val="00171DD2"/>
    <w:rsid w:val="0018710D"/>
    <w:rsid w:val="001A68A5"/>
    <w:rsid w:val="001A69E5"/>
    <w:rsid w:val="001B5D71"/>
    <w:rsid w:val="002A7D52"/>
    <w:rsid w:val="002B2637"/>
    <w:rsid w:val="002D37F6"/>
    <w:rsid w:val="003104CD"/>
    <w:rsid w:val="00337A62"/>
    <w:rsid w:val="00366B1E"/>
    <w:rsid w:val="003C5104"/>
    <w:rsid w:val="003F6C8C"/>
    <w:rsid w:val="00431EBA"/>
    <w:rsid w:val="00444350"/>
    <w:rsid w:val="00466652"/>
    <w:rsid w:val="00494190"/>
    <w:rsid w:val="004C3401"/>
    <w:rsid w:val="0059757F"/>
    <w:rsid w:val="005C5A98"/>
    <w:rsid w:val="005F0084"/>
    <w:rsid w:val="005F09F9"/>
    <w:rsid w:val="00616DA2"/>
    <w:rsid w:val="00637369"/>
    <w:rsid w:val="006526A8"/>
    <w:rsid w:val="00684D7C"/>
    <w:rsid w:val="0068596E"/>
    <w:rsid w:val="006A020A"/>
    <w:rsid w:val="006B195F"/>
    <w:rsid w:val="006C6EDC"/>
    <w:rsid w:val="006E0E45"/>
    <w:rsid w:val="006E373E"/>
    <w:rsid w:val="007247C7"/>
    <w:rsid w:val="00752286"/>
    <w:rsid w:val="007B3DBE"/>
    <w:rsid w:val="007D48BD"/>
    <w:rsid w:val="007F3A4A"/>
    <w:rsid w:val="008037F5"/>
    <w:rsid w:val="00861E53"/>
    <w:rsid w:val="00875449"/>
    <w:rsid w:val="008A3849"/>
    <w:rsid w:val="008B6CB3"/>
    <w:rsid w:val="00920D07"/>
    <w:rsid w:val="00957A64"/>
    <w:rsid w:val="009A3A0B"/>
    <w:rsid w:val="009C63C5"/>
    <w:rsid w:val="00A02FD8"/>
    <w:rsid w:val="00A1580F"/>
    <w:rsid w:val="00A314FA"/>
    <w:rsid w:val="00A64B99"/>
    <w:rsid w:val="00AB4204"/>
    <w:rsid w:val="00AC3BD6"/>
    <w:rsid w:val="00AC46EC"/>
    <w:rsid w:val="00AC4746"/>
    <w:rsid w:val="00AE2BA3"/>
    <w:rsid w:val="00B00877"/>
    <w:rsid w:val="00B0290A"/>
    <w:rsid w:val="00B14AFE"/>
    <w:rsid w:val="00B15D70"/>
    <w:rsid w:val="00B67E1B"/>
    <w:rsid w:val="00BD584B"/>
    <w:rsid w:val="00C07035"/>
    <w:rsid w:val="00C37248"/>
    <w:rsid w:val="00C47705"/>
    <w:rsid w:val="00CB6C49"/>
    <w:rsid w:val="00CC47CD"/>
    <w:rsid w:val="00CD37E3"/>
    <w:rsid w:val="00CD61B7"/>
    <w:rsid w:val="00CE0DB2"/>
    <w:rsid w:val="00CE68C8"/>
    <w:rsid w:val="00D17C53"/>
    <w:rsid w:val="00DA33E8"/>
    <w:rsid w:val="00DC1C5C"/>
    <w:rsid w:val="00DD7F07"/>
    <w:rsid w:val="00DF6F7A"/>
    <w:rsid w:val="00E0532F"/>
    <w:rsid w:val="00E2044D"/>
    <w:rsid w:val="00E23770"/>
    <w:rsid w:val="00E31FB7"/>
    <w:rsid w:val="00E45BCE"/>
    <w:rsid w:val="00E962AD"/>
    <w:rsid w:val="00EB1D6A"/>
    <w:rsid w:val="00EC1C3A"/>
    <w:rsid w:val="00EC74A0"/>
    <w:rsid w:val="00EC7DE5"/>
    <w:rsid w:val="00EE72C0"/>
    <w:rsid w:val="00F016A2"/>
    <w:rsid w:val="00F41787"/>
    <w:rsid w:val="00F478FB"/>
    <w:rsid w:val="00FB7A88"/>
    <w:rsid w:val="00FB7AEA"/>
    <w:rsid w:val="00FD5611"/>
    <w:rsid w:val="00FE6200"/>
    <w:rsid w:val="00FE6954"/>
    <w:rsid w:val="10CA5D82"/>
    <w:rsid w:val="1D664B27"/>
    <w:rsid w:val="22C56A2A"/>
    <w:rsid w:val="23A8723A"/>
    <w:rsid w:val="269143B3"/>
    <w:rsid w:val="31AC683E"/>
    <w:rsid w:val="3632206F"/>
    <w:rsid w:val="41E476F2"/>
    <w:rsid w:val="4DF8340B"/>
    <w:rsid w:val="4E677005"/>
    <w:rsid w:val="54685C33"/>
    <w:rsid w:val="68894E43"/>
    <w:rsid w:val="7E14150F"/>
    <w:rsid w:val="7ECC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unhideWhenUsed/>
    <w:qFormat/>
    <w:uiPriority w:val="99"/>
    <w:pPr>
      <w:spacing w:after="120"/>
    </w:p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8">
    <w:name w:val="Title"/>
    <w:basedOn w:val="1"/>
    <w:next w:val="1"/>
    <w:link w:val="14"/>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3"/>
    <w:next w:val="3"/>
    <w:link w:val="19"/>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rPr>
      <w:rFonts w:ascii="Calibri" w:hAnsi="Calibri"/>
    </w:rPr>
  </w:style>
  <w:style w:type="character" w:customStyle="1" w:styleId="14">
    <w:name w:val="标题 字符"/>
    <w:basedOn w:val="11"/>
    <w:link w:val="8"/>
    <w:qFormat/>
    <w:uiPriority w:val="10"/>
    <w:rPr>
      <w:rFonts w:asciiTheme="majorHAnsi" w:hAnsiTheme="majorHAnsi" w:eastAsiaTheme="majorEastAsia" w:cstheme="majorBidi"/>
      <w:b/>
      <w:bCs/>
      <w:sz w:val="32"/>
      <w:szCs w:val="32"/>
    </w:rPr>
  </w:style>
  <w:style w:type="paragraph" w:customStyle="1" w:styleId="15">
    <w:name w:val="_Style 6"/>
    <w:basedOn w:val="1"/>
    <w:next w:val="13"/>
    <w:qFormat/>
    <w:uiPriority w:val="34"/>
    <w:pPr>
      <w:ind w:firstLine="420" w:firstLineChars="200"/>
    </w:pPr>
    <w:rPr>
      <w:rFonts w:ascii="Calibri" w:hAnsi="Calibri"/>
    </w:rPr>
  </w:style>
  <w:style w:type="character" w:customStyle="1" w:styleId="16">
    <w:name w:val="页眉 字符"/>
    <w:basedOn w:val="11"/>
    <w:link w:val="6"/>
    <w:qFormat/>
    <w:uiPriority w:val="99"/>
    <w:rPr>
      <w:rFonts w:ascii="Times New Roman" w:hAnsi="Times New Roman" w:eastAsia="宋体" w:cs="Times New Roman"/>
      <w:sz w:val="18"/>
      <w:szCs w:val="18"/>
    </w:rPr>
  </w:style>
  <w:style w:type="character" w:customStyle="1" w:styleId="17">
    <w:name w:val="页脚 字符"/>
    <w:basedOn w:val="11"/>
    <w:link w:val="5"/>
    <w:qFormat/>
    <w:uiPriority w:val="99"/>
    <w:rPr>
      <w:rFonts w:ascii="Times New Roman" w:hAnsi="Times New Roman" w:eastAsia="宋体" w:cs="Times New Roman"/>
      <w:sz w:val="18"/>
      <w:szCs w:val="18"/>
    </w:rPr>
  </w:style>
  <w:style w:type="character" w:customStyle="1" w:styleId="18">
    <w:name w:val="批注文字 字符"/>
    <w:basedOn w:val="11"/>
    <w:link w:val="3"/>
    <w:semiHidden/>
    <w:qFormat/>
    <w:uiPriority w:val="99"/>
    <w:rPr>
      <w:rFonts w:ascii="Times New Roman" w:hAnsi="Times New Roman" w:eastAsia="宋体" w:cs="Times New Roman"/>
      <w:szCs w:val="24"/>
    </w:rPr>
  </w:style>
  <w:style w:type="character" w:customStyle="1" w:styleId="19">
    <w:name w:val="批注主题 字符"/>
    <w:basedOn w:val="18"/>
    <w:link w:val="9"/>
    <w:semiHidden/>
    <w:qFormat/>
    <w:uiPriority w:val="99"/>
    <w:rPr>
      <w:rFonts w:ascii="Times New Roman" w:hAnsi="Times New Roman" w:eastAsia="宋体" w:cs="Times New Roman"/>
      <w:b/>
      <w:bCs/>
      <w:szCs w:val="24"/>
    </w:rPr>
  </w:style>
  <w:style w:type="character" w:customStyle="1" w:styleId="20">
    <w:name w:val="批注框文本 字符"/>
    <w:basedOn w:val="11"/>
    <w:link w:val="4"/>
    <w:semiHidden/>
    <w:qFormat/>
    <w:uiPriority w:val="99"/>
    <w:rPr>
      <w:rFonts w:ascii="Times New Roman" w:hAnsi="Times New Roman" w:eastAsia="宋体" w:cs="Times New Roman"/>
      <w:kern w:val="2"/>
      <w:sz w:val="18"/>
      <w:szCs w:val="18"/>
    </w:rPr>
  </w:style>
  <w:style w:type="character" w:customStyle="1" w:styleId="21">
    <w:name w:val="正文文本 字符"/>
    <w:basedOn w:val="11"/>
    <w:link w:val="2"/>
    <w:qFormat/>
    <w:uiPriority w:val="99"/>
    <w:rPr>
      <w:rFonts w:hint="eastAsia" w:ascii="仿宋_GB2312" w:eastAsia="仿宋_GB2312" w:cs="仿宋_GB2312"/>
      <w:kern w:val="32"/>
      <w:sz w:val="32"/>
      <w:szCs w:val="32"/>
    </w:rPr>
  </w:style>
  <w:style w:type="paragraph" w:customStyle="1" w:styleId="22">
    <w:name w:val="msolistparagraph"/>
    <w:basedOn w:val="1"/>
    <w:qFormat/>
    <w:uiPriority w:val="0"/>
    <w:pPr>
      <w:ind w:firstLine="420" w:firstLineChars="200"/>
    </w:pPr>
    <w:rPr>
      <w:rFonts w:hint="eastAsia" w:ascii="仿宋_GB2312" w:eastAsia="仿宋_GB2312"/>
      <w:kern w:val="32"/>
      <w:sz w:val="32"/>
      <w:szCs w:val="32"/>
    </w:rPr>
  </w:style>
  <w:style w:type="paragraph" w:customStyle="1" w:styleId="23">
    <w:name w:val="contentfo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A9909-FB02-45A9-858A-B46CBBEB0E9D}">
  <ds:schemaRefs/>
</ds:datastoreItem>
</file>

<file path=docProps/app.xml><?xml version="1.0" encoding="utf-8"?>
<Properties xmlns="http://schemas.openxmlformats.org/officeDocument/2006/extended-properties" xmlns:vt="http://schemas.openxmlformats.org/officeDocument/2006/docPropsVTypes">
  <Template>Normal</Template>
  <Pages>16</Pages>
  <Words>5523</Words>
  <Characters>5678</Characters>
  <Lines>41</Lines>
  <Paragraphs>11</Paragraphs>
  <TotalTime>0</TotalTime>
  <ScaleCrop>false</ScaleCrop>
  <LinksUpToDate>false</LinksUpToDate>
  <CharactersWithSpaces>5692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2022-09-06T01:40:00Z</dcterms:created>
  <dc:creator>s V</dc:creator>
  <cp:lastModifiedBy>linshi2</cp:lastModifiedBy>
  <cp:lastPrinted>2022-09-21T03:00:00Z</cp:lastPrinted>
  <dcterms:modified xsi:type="dcterms:W3CDTF">2022-09-22T01:16:46Z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E9E34A212981449FA91AB8D5CFA6B47A</vt:lpwstr>
  </property>
</Properties>
</file>