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6D25E">
      <w:pPr>
        <w:rPr>
          <w:rFonts w:ascii="Times New Roman" w:hAnsi="Times New Roman" w:eastAsia="黑体" w:cs="Times New Roman"/>
          <w:b/>
          <w:sz w:val="30"/>
          <w:szCs w:val="30"/>
        </w:rPr>
      </w:pPr>
      <w:r>
        <w:rPr>
          <w:rFonts w:ascii="Times New Roman" w:hAnsi="Times New Roman" w:eastAsia="黑体" w:cs="Times New Roman"/>
          <w:b/>
          <w:sz w:val="30"/>
          <w:szCs w:val="30"/>
        </w:rPr>
        <w:t xml:space="preserve"> </w:t>
      </w:r>
    </w:p>
    <w:p w14:paraId="67E3B6C1">
      <w:pPr>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津丽（挂）2011-01（A2）、2011-02（B2）、2011-03（C1、C2）《天津市国有建设用地使用权出让合同》</w:t>
      </w:r>
    </w:p>
    <w:p w14:paraId="73C9D63A">
      <w:pPr>
        <w:jc w:val="center"/>
        <w:rPr>
          <w:rFonts w:ascii="Times New Roman" w:hAnsi="Times New Roman" w:eastAsia="黑体" w:cs="Times New Roman"/>
          <w:b/>
          <w:sz w:val="30"/>
          <w:szCs w:val="30"/>
          <w:highlight w:val="none"/>
        </w:rPr>
      </w:pPr>
      <w:r>
        <w:rPr>
          <w:rFonts w:hint="eastAsia" w:ascii="Times New Roman" w:hAnsi="Times New Roman" w:eastAsia="黑体" w:cs="Times New Roman"/>
          <w:b/>
          <w:sz w:val="30"/>
          <w:szCs w:val="30"/>
        </w:rPr>
        <w:t>补充合同五</w:t>
      </w:r>
    </w:p>
    <w:p w14:paraId="4ABB230F">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补充合同签订方：</w:t>
      </w:r>
    </w:p>
    <w:p w14:paraId="7036349E">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甲方：天津市规划和自然资源局东丽分局</w:t>
      </w:r>
    </w:p>
    <w:p w14:paraId="4C1AB813">
      <w:pPr>
        <w:ind w:firstLine="560" w:firstLineChars="200"/>
        <w:rPr>
          <w:rFonts w:ascii="Times New Roman" w:hAnsi="Times New Roman" w:eastAsia="仿宋_GB2312" w:cs="Times New Roman"/>
          <w:sz w:val="32"/>
          <w:szCs w:val="32"/>
        </w:rPr>
      </w:pPr>
      <w:r>
        <w:rPr>
          <w:rFonts w:hint="eastAsia" w:ascii="Times New Roman" w:hAnsi="Times New Roman" w:eastAsia="仿宋_GB2312" w:cs="Times New Roman"/>
          <w:sz w:val="28"/>
          <w:szCs w:val="28"/>
        </w:rPr>
        <w:t>乙方：天津天安泛科技园开发有限公司</w:t>
      </w:r>
    </w:p>
    <w:p w14:paraId="539E2F32">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2011年06月08日，原天津市国土资源和房屋管理局东丽区国土资源分局与乙方签订了位于天津市东丽区东丽湖街津汉公路北侧，宗地编号为津丽（挂）2011-01（A2地块）、津丽（挂）2011-02（B2地块）、津丽（挂）2011-03（C1、C2地块）地块的《天津市国有建设用地使用权出让合同》（（以下简称“《出让合同》”），受让了上述土地，并于2012年4月9日签订《补充合同》，将上述宗地及规划指标进行了合并，合并后土地出让面积为394123.9平方米（最终土地面积以最新出具的核定用地图为准），规划用地性质为商业金融业用地，建筑面积不大于934100平方米，建筑密度不大于40%，绿地率不小于15%。2014年7月23日，原天津市国土资源和房屋管理局东丽区国土资源分局与乙方签订《补充合同二》，将竣工时间调整为2015年7月4日之前。2016年1月20日，原天津市国土资源和房屋管理局东丽区国土资源分局与乙方签订《补充合同三》，将竣工时间调整为2018年1月12日之前。</w:t>
      </w:r>
      <w:r>
        <w:rPr>
          <w:rFonts w:ascii="Times New Roman" w:hAnsi="Times New Roman" w:eastAsia="仿宋_GB2312" w:cs="Times New Roman"/>
          <w:sz w:val="28"/>
          <w:szCs w:val="28"/>
        </w:rPr>
        <w:t>2025</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11</w:t>
      </w:r>
      <w:r>
        <w:rPr>
          <w:rFonts w:hint="eastAsia" w:ascii="Times New Roman" w:hAnsi="Times New Roman" w:eastAsia="仿宋_GB2312" w:cs="Times New Roman"/>
          <w:sz w:val="28"/>
          <w:szCs w:val="28"/>
        </w:rPr>
        <w:t>月2</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日，天津市规划和自然资源局东丽分局与乙方签订《补充合同四》，将竣工时间调整为20</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年1</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31</w:t>
      </w:r>
      <w:r>
        <w:rPr>
          <w:rFonts w:hint="eastAsia" w:ascii="Times New Roman" w:hAnsi="Times New Roman" w:eastAsia="仿宋_GB2312" w:cs="Times New Roman"/>
          <w:sz w:val="28"/>
          <w:szCs w:val="28"/>
        </w:rPr>
        <w:t>日之前。</w:t>
      </w:r>
    </w:p>
    <w:p w14:paraId="7ACBCE08">
      <w:pPr>
        <w:ind w:firstLine="560" w:firstLineChars="200"/>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28"/>
          <w:szCs w:val="28"/>
        </w:rPr>
        <w:t>现就该宗地办理土地性质变更、规划指标调整等有关事项，经甲、乙双方协商一致，达成如下补充内容：</w:t>
      </w:r>
    </w:p>
    <w:p w14:paraId="4AF37DAD">
      <w:pPr>
        <w:numPr>
          <w:ilvl w:val="0"/>
          <w:numId w:val="1"/>
        </w:numP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rPr>
        <w:t>原</w:t>
      </w:r>
      <w:r>
        <w:rPr>
          <w:rFonts w:hint="eastAsia" w:ascii="Times New Roman" w:hAnsi="Times New Roman" w:eastAsia="仿宋_GB2312" w:cs="Times New Roman"/>
          <w:sz w:val="28"/>
          <w:szCs w:val="28"/>
          <w:highlight w:val="none"/>
        </w:rPr>
        <w:t>合同项下出让宗地的用途</w:t>
      </w:r>
      <w:r>
        <w:rPr>
          <w:rFonts w:hint="eastAsia" w:ascii="Times New Roman" w:hAnsi="Times New Roman" w:eastAsia="仿宋_GB2312" w:cs="Times New Roman"/>
          <w:sz w:val="28"/>
          <w:szCs w:val="28"/>
        </w:rPr>
        <w:t>由商业金融业用地变更</w:t>
      </w:r>
      <w:r>
        <w:rPr>
          <w:rFonts w:hint="eastAsia" w:ascii="Times New Roman" w:hAnsi="Times New Roman" w:eastAsia="仿宋_GB2312" w:cs="Times New Roman"/>
          <w:sz w:val="28"/>
          <w:szCs w:val="28"/>
          <w:highlight w:val="none"/>
        </w:rPr>
        <w:t>为</w:t>
      </w:r>
      <w:r>
        <w:rPr>
          <w:rFonts w:hint="eastAsia" w:ascii="Times New Roman" w:hAnsi="Times New Roman" w:eastAsia="仿宋_GB2312" w:cs="Times New Roman"/>
          <w:sz w:val="28"/>
          <w:szCs w:val="28"/>
          <w:highlight w:val="none"/>
          <w:lang w:val="en-US" w:eastAsia="zh-CN"/>
        </w:rPr>
        <w:t>二类</w:t>
      </w:r>
      <w:r>
        <w:rPr>
          <w:rFonts w:hint="eastAsia" w:ascii="Times New Roman" w:hAnsi="Times New Roman" w:eastAsia="仿宋_GB2312" w:cs="Times New Roman"/>
          <w:sz w:val="28"/>
          <w:szCs w:val="28"/>
        </w:rPr>
        <w:t>居住用地、商业用地、中小学用地、公园绿地、</w:t>
      </w:r>
      <w:r>
        <w:rPr>
          <w:rFonts w:hint="eastAsia" w:ascii="Times New Roman" w:hAnsi="Times New Roman" w:eastAsia="仿宋_GB2312" w:cs="Times New Roman"/>
          <w:sz w:val="28"/>
          <w:szCs w:val="28"/>
          <w:highlight w:val="none"/>
          <w:lang w:val="en-US" w:eastAsia="zh-CN"/>
        </w:rPr>
        <w:t>服务设施用地</w:t>
      </w:r>
      <w:r>
        <w:rPr>
          <w:rFonts w:hint="eastAsia" w:ascii="Times New Roman" w:hAnsi="Times New Roman" w:eastAsia="仿宋_GB2312" w:cs="Times New Roman"/>
          <w:sz w:val="28"/>
          <w:szCs w:val="28"/>
        </w:rPr>
        <w:t>、城镇村道路用地</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rPr>
        <w:t>具体规划性质用地边界范围</w:t>
      </w:r>
      <w:r>
        <w:rPr>
          <w:rFonts w:hint="eastAsia" w:ascii="Times New Roman" w:hAnsi="Times New Roman" w:eastAsia="仿宋_GB2312" w:cs="Times New Roman"/>
          <w:sz w:val="28"/>
          <w:szCs w:val="28"/>
          <w:lang w:val="en-US" w:eastAsia="zh-CN"/>
        </w:rPr>
        <w:t>及</w:t>
      </w:r>
      <w:r>
        <w:rPr>
          <w:rFonts w:hint="eastAsia" w:ascii="Times New Roman" w:hAnsi="Times New Roman" w:eastAsia="仿宋_GB2312" w:cs="Times New Roman"/>
          <w:sz w:val="28"/>
          <w:szCs w:val="28"/>
          <w:highlight w:val="none"/>
          <w:lang w:val="en-US" w:eastAsia="zh-CN"/>
        </w:rPr>
        <w:t>用地面积</w:t>
      </w:r>
      <w:r>
        <w:rPr>
          <w:rFonts w:hint="eastAsia" w:ascii="Times New Roman" w:hAnsi="Times New Roman" w:eastAsia="仿宋_GB2312" w:cs="Times New Roman"/>
          <w:sz w:val="28"/>
          <w:szCs w:val="28"/>
          <w:highlight w:val="none"/>
        </w:rPr>
        <w:t>详见附件核定用地图。</w:t>
      </w:r>
    </w:p>
    <w:p w14:paraId="261866CE">
      <w:pPr>
        <w:numPr>
          <w:ilvl w:val="0"/>
          <w:numId w:val="1"/>
        </w:numP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甲、乙双方均同意，在</w:t>
      </w:r>
      <w:r>
        <w:rPr>
          <w:rFonts w:hint="eastAsia" w:ascii="Times New Roman" w:hAnsi="Times New Roman" w:eastAsia="仿宋_GB2312" w:cs="Times New Roman"/>
          <w:sz w:val="28"/>
          <w:szCs w:val="28"/>
        </w:rPr>
        <w:t>本补充合同</w:t>
      </w:r>
      <w:r>
        <w:rPr>
          <w:rFonts w:hint="eastAsia" w:ascii="Times New Roman" w:hAnsi="Times New Roman" w:eastAsia="仿宋_GB2312" w:cs="Times New Roman"/>
          <w:sz w:val="28"/>
          <w:szCs w:val="28"/>
          <w:highlight w:val="none"/>
        </w:rPr>
        <w:t>项下宗地范围内新建建筑物、构筑物及其附属设施的，应符合自然资源主管部门确定的出让宗地规划条件（见附件）。其中：</w:t>
      </w:r>
    </w:p>
    <w:p w14:paraId="59D04385">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一、</w:t>
      </w:r>
      <w:r>
        <w:rPr>
          <w:rFonts w:hint="eastAsia" w:ascii="Times New Roman" w:hAnsi="Times New Roman" w:eastAsia="仿宋_GB2312" w:cs="Times New Roman"/>
          <w:sz w:val="28"/>
          <w:szCs w:val="28"/>
        </w:rPr>
        <w:t>居住用地：土地使用年限至</w:t>
      </w:r>
      <w:r>
        <w:rPr>
          <w:rFonts w:ascii="Times New Roman" w:hAnsi="Times New Roman" w:eastAsia="仿宋_GB2312" w:cs="Times New Roman"/>
          <w:sz w:val="28"/>
          <w:szCs w:val="28"/>
        </w:rPr>
        <w:t>2081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09</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08</w:t>
      </w:r>
      <w:r>
        <w:rPr>
          <w:rFonts w:hint="eastAsia" w:ascii="Times New Roman" w:hAnsi="Times New Roman" w:eastAsia="仿宋_GB2312" w:cs="Times New Roman"/>
          <w:sz w:val="28"/>
          <w:szCs w:val="28"/>
        </w:rPr>
        <w:t>日，</w:t>
      </w:r>
      <w:r>
        <w:rPr>
          <w:rFonts w:hint="eastAsia" w:ascii="Times New Roman" w:hAnsi="Times New Roman" w:eastAsia="仿宋_GB2312" w:cs="Times New Roman"/>
          <w:sz w:val="28"/>
          <w:szCs w:val="28"/>
          <w:highlight w:val="none"/>
        </w:rPr>
        <w:t>建筑总面积不大于</w:t>
      </w:r>
      <w:r>
        <w:rPr>
          <w:rFonts w:ascii="Times New Roman" w:hAnsi="Times New Roman" w:eastAsia="仿宋_GB2312" w:cs="Times New Roman"/>
          <w:sz w:val="28"/>
          <w:szCs w:val="28"/>
        </w:rPr>
        <w:t>292417.97</w:t>
      </w:r>
      <w:r>
        <w:rPr>
          <w:rFonts w:hint="eastAsia" w:ascii="Times New Roman" w:hAnsi="Times New Roman" w:eastAsia="仿宋_GB2312" w:cs="Times New Roman"/>
          <w:sz w:val="28"/>
          <w:szCs w:val="28"/>
          <w:highlight w:val="none"/>
        </w:rPr>
        <w:t>平方米，不小于</w:t>
      </w:r>
      <w:r>
        <w:rPr>
          <w:rFonts w:ascii="Times New Roman" w:hAnsi="Times New Roman" w:eastAsia="仿宋_GB2312" w:cs="Times New Roman"/>
          <w:sz w:val="28"/>
          <w:szCs w:val="28"/>
        </w:rPr>
        <w:t>243681.64</w:t>
      </w:r>
      <w:r>
        <w:rPr>
          <w:rFonts w:hint="eastAsia" w:ascii="Times New Roman" w:hAnsi="Times New Roman" w:eastAsia="仿宋_GB2312" w:cs="Times New Roman"/>
          <w:sz w:val="28"/>
          <w:szCs w:val="28"/>
          <w:highlight w:val="none"/>
        </w:rPr>
        <w:t>平方米；容积率不高于</w:t>
      </w:r>
      <w:r>
        <w:rPr>
          <w:rFonts w:ascii="Times New Roman" w:hAnsi="Times New Roman" w:eastAsia="仿宋_GB2312" w:cs="Times New Roman"/>
          <w:sz w:val="28"/>
          <w:szCs w:val="28"/>
        </w:rPr>
        <w:t>1.2</w:t>
      </w:r>
      <w:r>
        <w:rPr>
          <w:rFonts w:hint="eastAsia" w:ascii="Times New Roman" w:hAnsi="Times New Roman" w:eastAsia="仿宋_GB2312" w:cs="Times New Roman"/>
          <w:sz w:val="28"/>
          <w:szCs w:val="28"/>
          <w:highlight w:val="none"/>
        </w:rPr>
        <w:t>，不低于</w:t>
      </w:r>
      <w:r>
        <w:rPr>
          <w:rFonts w:ascii="Times New Roman" w:hAnsi="Times New Roman" w:eastAsia="仿宋_GB2312" w:cs="Times New Roman"/>
          <w:sz w:val="28"/>
          <w:szCs w:val="28"/>
        </w:rPr>
        <w:t>1.0</w:t>
      </w:r>
      <w:r>
        <w:rPr>
          <w:rFonts w:hint="eastAsia" w:ascii="Times New Roman" w:hAnsi="Times New Roman" w:eastAsia="仿宋_GB2312" w:cs="Times New Roman"/>
          <w:sz w:val="28"/>
          <w:szCs w:val="28"/>
          <w:highlight w:val="none"/>
        </w:rPr>
        <w:t>；建筑密度不高于</w:t>
      </w:r>
      <w:r>
        <w:rPr>
          <w:rFonts w:ascii="Times New Roman" w:hAnsi="Times New Roman" w:eastAsia="仿宋_GB2312" w:cs="Times New Roman"/>
          <w:sz w:val="28"/>
          <w:szCs w:val="28"/>
        </w:rPr>
        <w:t>40%</w:t>
      </w:r>
      <w:r>
        <w:rPr>
          <w:rFonts w:hint="eastAsia" w:ascii="Times New Roman" w:hAnsi="Times New Roman" w:eastAsia="仿宋_GB2312" w:cs="Times New Roman"/>
          <w:sz w:val="28"/>
          <w:szCs w:val="28"/>
          <w:highlight w:val="none"/>
        </w:rPr>
        <w:t>；绿地率不低于</w:t>
      </w:r>
      <w:r>
        <w:rPr>
          <w:rFonts w:ascii="Times New Roman" w:hAnsi="Times New Roman" w:eastAsia="仿宋_GB2312" w:cs="Times New Roman"/>
          <w:sz w:val="28"/>
          <w:szCs w:val="28"/>
        </w:rPr>
        <w:t>40%</w:t>
      </w:r>
      <w:r>
        <w:rPr>
          <w:rFonts w:hint="eastAsia" w:ascii="Times New Roman" w:hAnsi="Times New Roman" w:eastAsia="仿宋_GB2312" w:cs="Times New Roman"/>
          <w:sz w:val="28"/>
          <w:szCs w:val="28"/>
          <w:highlight w:val="none"/>
        </w:rPr>
        <w:t>；</w:t>
      </w:r>
    </w:p>
    <w:p w14:paraId="221116FF">
      <w:pPr>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二、</w:t>
      </w:r>
      <w:r>
        <w:rPr>
          <w:rFonts w:hint="eastAsia" w:ascii="Times New Roman" w:hAnsi="Times New Roman" w:eastAsia="仿宋_GB2312" w:cs="Times New Roman"/>
          <w:sz w:val="28"/>
          <w:szCs w:val="28"/>
        </w:rPr>
        <w:t>商业用地：土地使用年限至</w:t>
      </w:r>
      <w:r>
        <w:rPr>
          <w:rFonts w:ascii="Times New Roman" w:hAnsi="Times New Roman" w:eastAsia="仿宋_GB2312" w:cs="Times New Roman"/>
          <w:sz w:val="28"/>
          <w:szCs w:val="28"/>
        </w:rPr>
        <w:t>2051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09</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08</w:t>
      </w:r>
      <w:r>
        <w:rPr>
          <w:rFonts w:hint="eastAsia" w:ascii="Times New Roman" w:hAnsi="Times New Roman" w:eastAsia="仿宋_GB2312" w:cs="Times New Roman"/>
          <w:sz w:val="28"/>
          <w:szCs w:val="28"/>
        </w:rPr>
        <w:t>日，建筑总面积不大于</w:t>
      </w:r>
      <w:r>
        <w:rPr>
          <w:rFonts w:ascii="Times New Roman" w:hAnsi="Times New Roman" w:eastAsia="仿宋_GB2312" w:cs="Times New Roman"/>
          <w:sz w:val="28"/>
          <w:szCs w:val="28"/>
        </w:rPr>
        <w:t>20363.16</w:t>
      </w:r>
      <w:r>
        <w:rPr>
          <w:rFonts w:hint="eastAsia" w:ascii="Times New Roman" w:hAnsi="Times New Roman" w:eastAsia="仿宋_GB2312" w:cs="Times New Roman"/>
          <w:sz w:val="28"/>
          <w:szCs w:val="28"/>
        </w:rPr>
        <w:t>平方米；容积率不高于</w:t>
      </w:r>
      <w:r>
        <w:rPr>
          <w:rFonts w:ascii="Times New Roman" w:hAnsi="Times New Roman" w:eastAsia="仿宋_GB2312" w:cs="Times New Roman"/>
          <w:sz w:val="28"/>
          <w:szCs w:val="28"/>
        </w:rPr>
        <w:t>1.5</w:t>
      </w:r>
      <w:r>
        <w:rPr>
          <w:rFonts w:hint="eastAsia" w:ascii="Times New Roman" w:hAnsi="Times New Roman" w:eastAsia="仿宋_GB2312" w:cs="Times New Roman"/>
          <w:sz w:val="28"/>
          <w:szCs w:val="28"/>
        </w:rPr>
        <w:t>；绿地率不低</w:t>
      </w:r>
      <w:r>
        <w:rPr>
          <w:rFonts w:hint="eastAsia" w:ascii="Times New Roman" w:hAnsi="Times New Roman" w:eastAsia="仿宋_GB2312" w:cs="Times New Roman"/>
          <w:sz w:val="28"/>
          <w:szCs w:val="28"/>
          <w:highlight w:val="none"/>
        </w:rPr>
        <w:t>于</w:t>
      </w:r>
      <w:r>
        <w:rPr>
          <w:rFonts w:ascii="Times New Roman" w:hAnsi="Times New Roman" w:eastAsia="仿宋_GB2312" w:cs="Times New Roman"/>
          <w:sz w:val="28"/>
          <w:szCs w:val="28"/>
          <w:highlight w:val="none"/>
        </w:rPr>
        <w:t>20%</w:t>
      </w:r>
      <w:r>
        <w:rPr>
          <w:rFonts w:hint="eastAsia" w:ascii="Times New Roman" w:hAnsi="Times New Roman" w:eastAsia="仿宋_GB2312" w:cs="Times New Roman"/>
          <w:sz w:val="28"/>
          <w:szCs w:val="28"/>
          <w:highlight w:val="none"/>
        </w:rPr>
        <w:t>；</w:t>
      </w:r>
    </w:p>
    <w:p w14:paraId="16DEBBF5">
      <w:pPr>
        <w:jc w:val="lef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三、</w:t>
      </w:r>
      <w:r>
        <w:rPr>
          <w:rFonts w:hint="eastAsia" w:ascii="Times New Roman" w:hAnsi="Times New Roman" w:eastAsia="仿宋_GB2312" w:cs="Times New Roman"/>
          <w:sz w:val="28"/>
          <w:szCs w:val="28"/>
        </w:rPr>
        <w:t>中学用地：土地使用年限至</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09</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08</w:t>
      </w:r>
      <w:r>
        <w:rPr>
          <w:rFonts w:hint="eastAsia" w:ascii="Times New Roman" w:hAnsi="Times New Roman" w:eastAsia="仿宋_GB2312" w:cs="Times New Roman"/>
          <w:sz w:val="28"/>
          <w:szCs w:val="28"/>
        </w:rPr>
        <w:t>日</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建筑总面积不大于</w:t>
      </w:r>
      <w:r>
        <w:rPr>
          <w:rFonts w:hint="eastAsia" w:ascii="Times New Roman" w:hAnsi="Times New Roman" w:eastAsia="仿宋_GB2312" w:cs="Times New Roman"/>
          <w:sz w:val="28"/>
          <w:szCs w:val="28"/>
          <w:lang w:val="en-US" w:eastAsia="zh-CN"/>
        </w:rPr>
        <w:t>39600</w:t>
      </w:r>
      <w:r>
        <w:rPr>
          <w:rFonts w:hint="eastAsia" w:ascii="Times New Roman" w:hAnsi="Times New Roman" w:eastAsia="仿宋_GB2312" w:cs="Times New Roman"/>
          <w:sz w:val="28"/>
          <w:szCs w:val="28"/>
        </w:rPr>
        <w:t xml:space="preserve">平方米，容积率不高于 </w:t>
      </w:r>
      <w:r>
        <w:rPr>
          <w:rFonts w:ascii="Times New Roman" w:hAnsi="Times New Roman" w:eastAsia="仿宋_GB2312" w:cs="Times New Roman"/>
          <w:sz w:val="28"/>
          <w:szCs w:val="28"/>
        </w:rPr>
        <w:t>1.5</w:t>
      </w:r>
      <w:r>
        <w:rPr>
          <w:rFonts w:hint="eastAsia" w:ascii="Times New Roman" w:hAnsi="Times New Roman" w:eastAsia="仿宋_GB2312" w:cs="Times New Roman"/>
          <w:sz w:val="28"/>
          <w:szCs w:val="28"/>
        </w:rPr>
        <w:t>，建筑密度不高于</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，绿地率不低于</w:t>
      </w:r>
      <w:r>
        <w:rPr>
          <w:rFonts w:ascii="Times New Roman" w:hAnsi="Times New Roman" w:eastAsia="仿宋_GB2312" w:cs="Times New Roman"/>
          <w:sz w:val="28"/>
          <w:szCs w:val="28"/>
        </w:rPr>
        <w:t>35%</w:t>
      </w:r>
      <w:r>
        <w:rPr>
          <w:rFonts w:hint="eastAsia" w:ascii="Times New Roman" w:hAnsi="Times New Roman" w:eastAsia="仿宋_GB2312" w:cs="Times New Roman"/>
          <w:sz w:val="28"/>
          <w:szCs w:val="28"/>
        </w:rPr>
        <w:t>；</w:t>
      </w:r>
    </w:p>
    <w:p w14:paraId="3F805DA1">
      <w:pPr>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四、小</w:t>
      </w:r>
      <w:r>
        <w:rPr>
          <w:rFonts w:hint="eastAsia" w:ascii="Times New Roman" w:hAnsi="Times New Roman" w:eastAsia="仿宋_GB2312" w:cs="Times New Roman"/>
          <w:sz w:val="28"/>
          <w:szCs w:val="28"/>
        </w:rPr>
        <w:t>学用地：土地使用年限至</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09</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08</w:t>
      </w:r>
      <w:r>
        <w:rPr>
          <w:rFonts w:hint="eastAsia" w:ascii="Times New Roman" w:hAnsi="Times New Roman" w:eastAsia="仿宋_GB2312" w:cs="Times New Roman"/>
          <w:sz w:val="28"/>
          <w:szCs w:val="28"/>
        </w:rPr>
        <w:t>日，建筑总面积不大于</w:t>
      </w:r>
      <w:r>
        <w:rPr>
          <w:rFonts w:hint="eastAsia" w:ascii="Times New Roman" w:hAnsi="Times New Roman" w:eastAsia="仿宋_GB2312" w:cs="Times New Roman"/>
          <w:sz w:val="28"/>
          <w:szCs w:val="28"/>
          <w:lang w:val="en-US" w:eastAsia="zh-CN"/>
        </w:rPr>
        <w:t>22499.99</w:t>
      </w:r>
      <w:r>
        <w:rPr>
          <w:rFonts w:hint="eastAsia" w:ascii="Times New Roman" w:hAnsi="Times New Roman" w:eastAsia="仿宋_GB2312" w:cs="Times New Roman"/>
          <w:sz w:val="28"/>
          <w:szCs w:val="28"/>
        </w:rPr>
        <w:t xml:space="preserve">平方米，容积率不高于 </w:t>
      </w:r>
      <w:r>
        <w:rPr>
          <w:rFonts w:ascii="Times New Roman" w:hAnsi="Times New Roman" w:eastAsia="仿宋_GB2312" w:cs="Times New Roman"/>
          <w:sz w:val="28"/>
          <w:szCs w:val="28"/>
        </w:rPr>
        <w:t>1.5</w:t>
      </w:r>
      <w:r>
        <w:rPr>
          <w:rFonts w:hint="eastAsia" w:ascii="Times New Roman" w:hAnsi="Times New Roman" w:eastAsia="仿宋_GB2312" w:cs="Times New Roman"/>
          <w:sz w:val="28"/>
          <w:szCs w:val="28"/>
        </w:rPr>
        <w:t>，建筑密度不高于</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，绿地率不低于</w:t>
      </w:r>
      <w:r>
        <w:rPr>
          <w:rFonts w:ascii="Times New Roman" w:hAnsi="Times New Roman" w:eastAsia="仿宋_GB2312" w:cs="Times New Roman"/>
          <w:sz w:val="28"/>
          <w:szCs w:val="28"/>
        </w:rPr>
        <w:t>35%</w:t>
      </w:r>
      <w:r>
        <w:rPr>
          <w:rFonts w:hint="eastAsia" w:ascii="Times New Roman" w:hAnsi="Times New Roman" w:eastAsia="仿宋_GB2312" w:cs="Times New Roman"/>
          <w:sz w:val="28"/>
          <w:szCs w:val="28"/>
          <w:lang w:eastAsia="zh-CN"/>
        </w:rPr>
        <w:t>；</w:t>
      </w:r>
    </w:p>
    <w:p w14:paraId="002294C0">
      <w:pPr>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lang w:val="en-US" w:eastAsia="zh-CN"/>
        </w:rPr>
        <w:t>五、</w:t>
      </w:r>
      <w:r>
        <w:rPr>
          <w:rFonts w:hint="eastAsia" w:ascii="Times New Roman" w:hAnsi="Times New Roman" w:eastAsia="仿宋_GB2312" w:cs="Times New Roman"/>
          <w:sz w:val="28"/>
          <w:szCs w:val="28"/>
        </w:rPr>
        <w:t>公园绿地：</w:t>
      </w:r>
      <w:r>
        <w:rPr>
          <w:rFonts w:hint="eastAsia" w:ascii="Times New Roman" w:hAnsi="Times New Roman" w:eastAsia="仿宋_GB2312" w:cs="Times New Roman"/>
          <w:sz w:val="28"/>
          <w:szCs w:val="28"/>
          <w:highlight w:val="none"/>
        </w:rPr>
        <w:t>土地使用年限至</w:t>
      </w:r>
      <w:r>
        <w:rPr>
          <w:rFonts w:ascii="Times New Roman" w:hAnsi="Times New Roman" w:eastAsia="仿宋_GB2312" w:cs="Times New Roman"/>
          <w:sz w:val="28"/>
          <w:szCs w:val="28"/>
          <w:highlight w:val="none"/>
        </w:rPr>
        <w:t>2051</w:t>
      </w:r>
      <w:r>
        <w:rPr>
          <w:rFonts w:hint="eastAsia" w:ascii="Times New Roman" w:hAnsi="Times New Roman" w:eastAsia="仿宋_GB2312" w:cs="Times New Roman"/>
          <w:sz w:val="28"/>
          <w:szCs w:val="28"/>
          <w:highlight w:val="none"/>
        </w:rPr>
        <w:t>年</w:t>
      </w:r>
      <w:r>
        <w:rPr>
          <w:rFonts w:ascii="Times New Roman" w:hAnsi="Times New Roman" w:eastAsia="仿宋_GB2312" w:cs="Times New Roman"/>
          <w:sz w:val="28"/>
          <w:szCs w:val="28"/>
          <w:highlight w:val="none"/>
        </w:rPr>
        <w:t>09</w:t>
      </w:r>
      <w:r>
        <w:rPr>
          <w:rFonts w:hint="eastAsia" w:ascii="Times New Roman" w:hAnsi="Times New Roman" w:eastAsia="仿宋_GB2312" w:cs="Times New Roman"/>
          <w:sz w:val="28"/>
          <w:szCs w:val="28"/>
          <w:highlight w:val="none"/>
        </w:rPr>
        <w:t>月</w:t>
      </w:r>
      <w:r>
        <w:rPr>
          <w:rFonts w:ascii="Times New Roman" w:hAnsi="Times New Roman" w:eastAsia="仿宋_GB2312" w:cs="Times New Roman"/>
          <w:sz w:val="28"/>
          <w:szCs w:val="28"/>
          <w:highlight w:val="none"/>
        </w:rPr>
        <w:t>08</w:t>
      </w:r>
      <w:r>
        <w:rPr>
          <w:rFonts w:hint="eastAsia" w:ascii="Times New Roman" w:hAnsi="Times New Roman" w:eastAsia="仿宋_GB2312" w:cs="Times New Roman"/>
          <w:sz w:val="28"/>
          <w:szCs w:val="28"/>
          <w:highlight w:val="none"/>
        </w:rPr>
        <w:t>日</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绿地率不低于</w:t>
      </w:r>
      <w:r>
        <w:rPr>
          <w:rFonts w:ascii="Times New Roman" w:hAnsi="Times New Roman" w:eastAsia="仿宋_GB2312" w:cs="Times New Roman"/>
          <w:sz w:val="28"/>
          <w:szCs w:val="28"/>
          <w:highlight w:val="none"/>
        </w:rPr>
        <w:t>75%</w:t>
      </w:r>
      <w:r>
        <w:rPr>
          <w:rFonts w:hint="eastAsia" w:ascii="Times New Roman" w:hAnsi="Times New Roman" w:eastAsia="仿宋_GB2312" w:cs="Times New Roman"/>
          <w:sz w:val="28"/>
          <w:szCs w:val="28"/>
          <w:highlight w:val="none"/>
        </w:rPr>
        <w:t>；</w:t>
      </w:r>
    </w:p>
    <w:p w14:paraId="65AE65B2">
      <w:pPr>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六、服务设施用地（幼儿园、托儿所）</w:t>
      </w:r>
      <w:r>
        <w:rPr>
          <w:rFonts w:hint="eastAsia" w:ascii="Times New Roman" w:hAnsi="Times New Roman" w:eastAsia="仿宋_GB2312" w:cs="Times New Roman"/>
          <w:sz w:val="28"/>
          <w:szCs w:val="28"/>
          <w:highlight w:val="none"/>
        </w:rPr>
        <w:t>：土地使用年限至</w:t>
      </w:r>
      <w:r>
        <w:rPr>
          <w:rFonts w:ascii="Times New Roman" w:hAnsi="Times New Roman" w:eastAsia="仿宋_GB2312" w:cs="Times New Roman"/>
          <w:sz w:val="28"/>
          <w:szCs w:val="28"/>
          <w:highlight w:val="none"/>
        </w:rPr>
        <w:t>20</w:t>
      </w:r>
      <w:r>
        <w:rPr>
          <w:rFonts w:hint="eastAsia" w:ascii="Times New Roman" w:hAnsi="Times New Roman" w:eastAsia="仿宋_GB2312" w:cs="Times New Roman"/>
          <w:sz w:val="28"/>
          <w:szCs w:val="28"/>
          <w:highlight w:val="none"/>
          <w:lang w:val="en-US" w:eastAsia="zh-CN"/>
        </w:rPr>
        <w:t>6</w:t>
      </w: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rPr>
        <w:t>年</w:t>
      </w:r>
      <w:r>
        <w:rPr>
          <w:rFonts w:ascii="Times New Roman" w:hAnsi="Times New Roman" w:eastAsia="仿宋_GB2312" w:cs="Times New Roman"/>
          <w:sz w:val="28"/>
          <w:szCs w:val="28"/>
          <w:highlight w:val="none"/>
        </w:rPr>
        <w:t>09</w:t>
      </w:r>
      <w:r>
        <w:rPr>
          <w:rFonts w:hint="eastAsia" w:ascii="Times New Roman" w:hAnsi="Times New Roman" w:eastAsia="仿宋_GB2312" w:cs="Times New Roman"/>
          <w:sz w:val="28"/>
          <w:szCs w:val="28"/>
          <w:highlight w:val="none"/>
        </w:rPr>
        <w:t>月</w:t>
      </w:r>
      <w:r>
        <w:rPr>
          <w:rFonts w:ascii="Times New Roman" w:hAnsi="Times New Roman" w:eastAsia="仿宋_GB2312" w:cs="Times New Roman"/>
          <w:sz w:val="28"/>
          <w:szCs w:val="28"/>
          <w:highlight w:val="none"/>
        </w:rPr>
        <w:t>08</w:t>
      </w:r>
      <w:r>
        <w:rPr>
          <w:rFonts w:hint="eastAsia" w:ascii="Times New Roman" w:hAnsi="Times New Roman" w:eastAsia="仿宋_GB2312" w:cs="Times New Roman"/>
          <w:sz w:val="28"/>
          <w:szCs w:val="28"/>
          <w:highlight w:val="none"/>
        </w:rPr>
        <w:t>日，建筑总面积不大于</w:t>
      </w:r>
      <w:r>
        <w:rPr>
          <w:rFonts w:ascii="Times New Roman" w:hAnsi="Times New Roman" w:eastAsia="仿宋_GB2312" w:cs="Times New Roman"/>
          <w:sz w:val="28"/>
          <w:szCs w:val="28"/>
          <w:highlight w:val="none"/>
        </w:rPr>
        <w:t>4505.66</w:t>
      </w:r>
      <w:r>
        <w:rPr>
          <w:rFonts w:hint="eastAsia" w:ascii="Times New Roman" w:hAnsi="Times New Roman" w:eastAsia="仿宋_GB2312" w:cs="Times New Roman"/>
          <w:sz w:val="28"/>
          <w:szCs w:val="28"/>
          <w:highlight w:val="none"/>
        </w:rPr>
        <w:t>平方米；容积率不高于</w:t>
      </w:r>
      <w:r>
        <w:rPr>
          <w:rFonts w:ascii="Times New Roman" w:hAnsi="Times New Roman" w:eastAsia="仿宋_GB2312" w:cs="Times New Roman"/>
          <w:sz w:val="28"/>
          <w:szCs w:val="28"/>
          <w:highlight w:val="none"/>
        </w:rPr>
        <w:t>1.0</w:t>
      </w:r>
      <w:r>
        <w:rPr>
          <w:rFonts w:hint="eastAsia" w:ascii="Times New Roman" w:hAnsi="Times New Roman" w:eastAsia="仿宋_GB2312" w:cs="Times New Roman"/>
          <w:sz w:val="28"/>
          <w:szCs w:val="28"/>
          <w:highlight w:val="none"/>
        </w:rPr>
        <w:t>；建筑密度（建筑系数）不高于</w:t>
      </w:r>
      <w:r>
        <w:rPr>
          <w:rFonts w:ascii="Times New Roman" w:hAnsi="Times New Roman" w:eastAsia="仿宋_GB2312" w:cs="Times New Roman"/>
          <w:sz w:val="28"/>
          <w:szCs w:val="28"/>
          <w:highlight w:val="none"/>
        </w:rPr>
        <w:t>30%</w:t>
      </w:r>
      <w:r>
        <w:rPr>
          <w:rFonts w:hint="eastAsia" w:ascii="Times New Roman" w:hAnsi="Times New Roman" w:eastAsia="仿宋_GB2312" w:cs="Times New Roman"/>
          <w:sz w:val="28"/>
          <w:szCs w:val="28"/>
          <w:highlight w:val="none"/>
        </w:rPr>
        <w:t>；绿地率不低于</w:t>
      </w:r>
      <w:r>
        <w:rPr>
          <w:rFonts w:ascii="Times New Roman" w:hAnsi="Times New Roman" w:eastAsia="仿宋_GB2312" w:cs="Times New Roman"/>
          <w:sz w:val="28"/>
          <w:szCs w:val="28"/>
          <w:highlight w:val="none"/>
        </w:rPr>
        <w:t>35%</w:t>
      </w:r>
      <w:r>
        <w:rPr>
          <w:rFonts w:hint="eastAsia" w:ascii="Times New Roman" w:hAnsi="Times New Roman" w:eastAsia="仿宋_GB2312" w:cs="Times New Roman"/>
          <w:sz w:val="28"/>
          <w:szCs w:val="28"/>
          <w:highlight w:val="none"/>
        </w:rPr>
        <w:t>；</w:t>
      </w:r>
    </w:p>
    <w:p w14:paraId="127F7CA4">
      <w:pPr>
        <w:jc w:val="left"/>
        <w:rPr>
          <w:rFonts w:ascii="Times New Roman" w:hAnsi="Times New Roman" w:eastAsia="仿宋_GB2312" w:cs="Times New Roman"/>
          <w:sz w:val="28"/>
          <w:szCs w:val="28"/>
          <w:highlight w:val="yellow"/>
        </w:rPr>
      </w:pPr>
      <w:r>
        <w:rPr>
          <w:rFonts w:hint="eastAsia" w:ascii="Times New Roman" w:hAnsi="Times New Roman" w:eastAsia="仿宋_GB2312" w:cs="Times New Roman"/>
          <w:sz w:val="28"/>
          <w:szCs w:val="28"/>
          <w:highlight w:val="none"/>
          <w:lang w:val="en-US" w:eastAsia="zh-CN"/>
        </w:rPr>
        <w:t>七、服务设施用地</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社区服务站、社区卫生服务站、老年人日间照料中心、党群服务中心、警务室、居 委会、公共厕所、环卫清扫班点</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：土地使用年限至</w:t>
      </w:r>
      <w:r>
        <w:rPr>
          <w:rFonts w:ascii="Times New Roman" w:hAnsi="Times New Roman" w:eastAsia="仿宋_GB2312" w:cs="Times New Roman"/>
          <w:sz w:val="28"/>
          <w:szCs w:val="28"/>
          <w:highlight w:val="none"/>
        </w:rPr>
        <w:t>20</w:t>
      </w:r>
      <w:r>
        <w:rPr>
          <w:rFonts w:hint="eastAsia" w:ascii="Times New Roman" w:hAnsi="Times New Roman" w:eastAsia="仿宋_GB2312" w:cs="Times New Roman"/>
          <w:sz w:val="28"/>
          <w:szCs w:val="28"/>
          <w:highlight w:val="none"/>
          <w:lang w:val="en-US" w:eastAsia="zh-CN"/>
        </w:rPr>
        <w:t>8</w:t>
      </w: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rPr>
        <w:t>年</w:t>
      </w:r>
      <w:r>
        <w:rPr>
          <w:rFonts w:ascii="Times New Roman" w:hAnsi="Times New Roman" w:eastAsia="仿宋_GB2312" w:cs="Times New Roman"/>
          <w:sz w:val="28"/>
          <w:szCs w:val="28"/>
          <w:highlight w:val="none"/>
        </w:rPr>
        <w:t>09</w:t>
      </w:r>
      <w:r>
        <w:rPr>
          <w:rFonts w:hint="eastAsia" w:ascii="Times New Roman" w:hAnsi="Times New Roman" w:eastAsia="仿宋_GB2312" w:cs="Times New Roman"/>
          <w:sz w:val="28"/>
          <w:szCs w:val="28"/>
          <w:highlight w:val="none"/>
        </w:rPr>
        <w:t>月</w:t>
      </w:r>
      <w:r>
        <w:rPr>
          <w:rFonts w:ascii="Times New Roman" w:hAnsi="Times New Roman" w:eastAsia="仿宋_GB2312" w:cs="Times New Roman"/>
          <w:sz w:val="28"/>
          <w:szCs w:val="28"/>
          <w:highlight w:val="none"/>
        </w:rPr>
        <w:t>08</w:t>
      </w:r>
      <w:r>
        <w:rPr>
          <w:rFonts w:hint="eastAsia" w:ascii="Times New Roman" w:hAnsi="Times New Roman" w:eastAsia="仿宋_GB2312" w:cs="Times New Roman"/>
          <w:sz w:val="28"/>
          <w:szCs w:val="28"/>
          <w:highlight w:val="none"/>
        </w:rPr>
        <w:t>日，建筑总面积不大于</w:t>
      </w:r>
      <w:r>
        <w:rPr>
          <w:rFonts w:ascii="Times New Roman" w:hAnsi="Times New Roman" w:eastAsia="仿宋_GB2312" w:cs="Times New Roman"/>
          <w:sz w:val="28"/>
          <w:szCs w:val="28"/>
          <w:highlight w:val="none"/>
        </w:rPr>
        <w:t>2500.</w:t>
      </w:r>
      <w:r>
        <w:rPr>
          <w:rFonts w:ascii="Times New Roman" w:hAnsi="Times New Roman" w:eastAsia="仿宋_GB2312" w:cs="Times New Roman"/>
          <w:sz w:val="28"/>
          <w:szCs w:val="28"/>
        </w:rPr>
        <w:t>99</w:t>
      </w:r>
      <w:r>
        <w:rPr>
          <w:rFonts w:hint="eastAsia" w:ascii="Times New Roman" w:hAnsi="Times New Roman" w:eastAsia="仿宋_GB2312" w:cs="Times New Roman"/>
          <w:sz w:val="28"/>
          <w:szCs w:val="28"/>
        </w:rPr>
        <w:t>平方米，不小于</w:t>
      </w:r>
      <w:r>
        <w:rPr>
          <w:rFonts w:ascii="Times New Roman" w:hAnsi="Times New Roman" w:eastAsia="仿宋_GB2312" w:cs="Times New Roman"/>
          <w:sz w:val="28"/>
          <w:szCs w:val="28"/>
        </w:rPr>
        <w:t>2050</w:t>
      </w:r>
      <w:r>
        <w:rPr>
          <w:rFonts w:hint="eastAsia" w:ascii="Times New Roman" w:hAnsi="Times New Roman" w:eastAsia="仿宋_GB2312" w:cs="Times New Roman"/>
          <w:sz w:val="28"/>
          <w:szCs w:val="28"/>
        </w:rPr>
        <w:t>平方米；容积率不高于</w:t>
      </w:r>
      <w:r>
        <w:rPr>
          <w:rFonts w:ascii="Times New Roman" w:hAnsi="Times New Roman" w:eastAsia="仿宋_GB2312" w:cs="Times New Roman"/>
          <w:sz w:val="28"/>
          <w:szCs w:val="28"/>
        </w:rPr>
        <w:t>1.0</w:t>
      </w:r>
      <w:r>
        <w:rPr>
          <w:rFonts w:hint="eastAsia" w:ascii="Times New Roman" w:hAnsi="Times New Roman" w:eastAsia="仿宋_GB2312" w:cs="Times New Roman"/>
          <w:sz w:val="28"/>
          <w:szCs w:val="28"/>
        </w:rPr>
        <w:t>；绿地率不低于</w:t>
      </w:r>
      <w:r>
        <w:rPr>
          <w:rFonts w:ascii="Times New Roman" w:hAnsi="Times New Roman" w:eastAsia="仿宋_GB2312" w:cs="Times New Roman"/>
          <w:sz w:val="28"/>
          <w:szCs w:val="28"/>
        </w:rPr>
        <w:t>35%</w:t>
      </w:r>
      <w:r>
        <w:rPr>
          <w:rFonts w:hint="eastAsia" w:ascii="Times New Roman" w:hAnsi="Times New Roman" w:eastAsia="仿宋_GB2312" w:cs="Times New Roman"/>
          <w:sz w:val="28"/>
          <w:szCs w:val="28"/>
        </w:rPr>
        <w:t>；</w:t>
      </w:r>
    </w:p>
    <w:p w14:paraId="1654412D">
      <w:pPr>
        <w:jc w:val="left"/>
        <w:rPr>
          <w:rFonts w:ascii="Times New Roman" w:hAnsi="Times New Roman" w:eastAsia="仿宋_GB2312" w:cs="Times New Roman"/>
          <w:sz w:val="28"/>
          <w:szCs w:val="28"/>
          <w:highlight w:val="yellow"/>
        </w:rPr>
      </w:pPr>
      <w:r>
        <w:rPr>
          <w:rFonts w:hint="eastAsia" w:ascii="Times New Roman" w:hAnsi="Times New Roman" w:eastAsia="仿宋_GB2312" w:cs="Times New Roman"/>
          <w:sz w:val="28"/>
          <w:szCs w:val="28"/>
          <w:lang w:val="en-US" w:eastAsia="zh-CN"/>
        </w:rPr>
        <w:t>八、</w:t>
      </w:r>
      <w:r>
        <w:rPr>
          <w:rFonts w:hint="eastAsia" w:ascii="Times New Roman" w:hAnsi="Times New Roman" w:eastAsia="仿宋_GB2312" w:cs="Times New Roman"/>
          <w:sz w:val="28"/>
          <w:szCs w:val="28"/>
        </w:rPr>
        <w:t>城镇村道路用地：土地使用年限至</w:t>
      </w:r>
      <w:r>
        <w:rPr>
          <w:rFonts w:ascii="Times New Roman" w:hAnsi="Times New Roman" w:eastAsia="仿宋_GB2312" w:cs="Times New Roman"/>
          <w:sz w:val="28"/>
          <w:szCs w:val="28"/>
        </w:rPr>
        <w:t>2051</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09</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08</w:t>
      </w:r>
      <w:r>
        <w:rPr>
          <w:rFonts w:hint="eastAsia" w:ascii="Times New Roman" w:hAnsi="Times New Roman" w:eastAsia="仿宋_GB2312" w:cs="Times New Roman"/>
          <w:sz w:val="28"/>
          <w:szCs w:val="28"/>
        </w:rPr>
        <w:t>日，</w:t>
      </w:r>
      <w:r>
        <w:rPr>
          <w:rFonts w:hint="eastAsia" w:ascii="Times New Roman" w:hAnsi="Times New Roman" w:eastAsia="仿宋_GB2312" w:cs="Times New Roman"/>
          <w:sz w:val="28"/>
          <w:szCs w:val="28"/>
          <w:lang w:val="en-US" w:eastAsia="zh-CN"/>
        </w:rPr>
        <w:t>用地面积为</w:t>
      </w:r>
      <w:r>
        <w:rPr>
          <w:rFonts w:ascii="Times New Roman" w:hAnsi="Times New Roman" w:eastAsia="仿宋_GB2312" w:cs="Times New Roman"/>
          <w:sz w:val="28"/>
          <w:szCs w:val="28"/>
        </w:rPr>
        <w:t>24925.4</w:t>
      </w:r>
      <w:r>
        <w:rPr>
          <w:rFonts w:hint="eastAsia" w:ascii="Times New Roman" w:hAnsi="Times New Roman" w:eastAsia="仿宋_GB2312" w:cs="Times New Roman"/>
          <w:sz w:val="28"/>
          <w:szCs w:val="28"/>
        </w:rPr>
        <w:t>平方米；</w:t>
      </w:r>
    </w:p>
    <w:p w14:paraId="7BB30652">
      <w:pPr>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其他土地利用要求</w:t>
      </w:r>
      <w:r>
        <w:rPr>
          <w:rFonts w:hint="eastAsia" w:ascii="Times New Roman" w:hAnsi="Times New Roman" w:eastAsia="仿宋_GB2312" w:cs="Times New Roman"/>
          <w:sz w:val="28"/>
          <w:szCs w:val="28"/>
          <w:highlight w:val="none"/>
          <w:lang w:val="en-US" w:eastAsia="zh-CN"/>
        </w:rPr>
        <w:t>及未尽事宜</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rPr>
        <w:t>详见附件一规划条件通知书。</w:t>
      </w:r>
      <w:r>
        <w:rPr>
          <w:rFonts w:ascii="Times New Roman" w:hAnsi="Times New Roman" w:eastAsia="仿宋_GB2312" w:cs="Times New Roman"/>
          <w:sz w:val="28"/>
          <w:szCs w:val="28"/>
          <w:highlight w:val="none"/>
        </w:rPr>
        <w:t xml:space="preserve"> </w:t>
      </w:r>
    </w:p>
    <w:p w14:paraId="3EE5F32F">
      <w:pPr>
        <w:ind w:firstLine="0" w:firstLineChars="0"/>
        <w:rPr>
          <w:rFonts w:ascii="Times New Roman" w:hAnsi="Times New Roman" w:eastAsia="仿宋_GB2312" w:cs="Times New Roman"/>
          <w:sz w:val="28"/>
          <w:szCs w:val="28"/>
          <w:highlight w:val="none"/>
        </w:rPr>
      </w:pPr>
    </w:p>
    <w:p w14:paraId="042E4B12">
      <w:pPr>
        <w:numPr>
          <w:ilvl w:val="0"/>
          <w:numId w:val="1"/>
        </w:num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（一）乙方应按照规划要求配建本合同第二条</w:t>
      </w:r>
      <w:r>
        <w:rPr>
          <w:rFonts w:hint="eastAsia" w:ascii="Times New Roman" w:hAnsi="Times New Roman" w:eastAsia="仿宋_GB2312" w:cs="Times New Roman"/>
          <w:sz w:val="28"/>
          <w:szCs w:val="28"/>
          <w:lang w:val="en-US" w:eastAsia="zh-CN"/>
        </w:rPr>
        <w:t>第六、七项代建内容</w:t>
      </w:r>
      <w:r>
        <w:rPr>
          <w:rFonts w:hint="eastAsia" w:ascii="Times New Roman" w:hAnsi="Times New Roman" w:eastAsia="仿宋_GB2312" w:cs="Times New Roman"/>
          <w:sz w:val="28"/>
          <w:szCs w:val="28"/>
        </w:rPr>
        <w:t xml:space="preserve">，并与首期住宅同步开发建设、同步交付使用，具体建设时序、移交部门及代建标准等内容由乙方与属地人民政府、相关行业及行政主管部门协商确定。 </w:t>
      </w:r>
    </w:p>
    <w:p w14:paraId="2C030E2D">
      <w:pPr>
        <w:ind w:firstLine="1120" w:firstLineChars="4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rPr>
        <w:t>（二）乙方同意按照规划要求，在本补充合同约定宗地范围内出资建设本合同第二条中</w:t>
      </w:r>
      <w:r>
        <w:rPr>
          <w:rFonts w:hint="eastAsia" w:ascii="Times New Roman" w:hAnsi="Times New Roman" w:eastAsia="仿宋_GB2312" w:cs="Times New Roman"/>
          <w:sz w:val="28"/>
          <w:szCs w:val="28"/>
          <w:lang w:val="en-US" w:eastAsia="zh-CN"/>
        </w:rPr>
        <w:t>三、四、五、八项</w:t>
      </w:r>
      <w:r>
        <w:rPr>
          <w:rFonts w:hint="eastAsia" w:ascii="Times New Roman" w:hAnsi="Times New Roman" w:eastAsia="仿宋_GB2312" w:cs="Times New Roman"/>
          <w:sz w:val="28"/>
          <w:szCs w:val="28"/>
        </w:rPr>
        <w:t>代建项目，建成后无偿移交东丽区相关部门，代建项目竣工验收时间不得晚于住宅竣工时间。具体建设时序、移交部门及代建标准等内容由乙方与属地人民政府、相关行业及行政主管部门协商确定。</w:t>
      </w:r>
    </w:p>
    <w:p w14:paraId="5E107116">
      <w:pPr>
        <w:numPr>
          <w:ilvl w:val="0"/>
          <w:numId w:val="1"/>
        </w:numPr>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乙方保证已建成商业内部道路作为市政配套道路对外开放使用，后续管</w:t>
      </w:r>
      <w:r>
        <w:rPr>
          <w:rFonts w:hint="eastAsia" w:ascii="Times New Roman" w:hAnsi="Times New Roman" w:eastAsia="仿宋_GB2312" w:cs="Times New Roman"/>
          <w:sz w:val="28"/>
          <w:szCs w:val="28"/>
        </w:rPr>
        <w:t>理工作由乙方按照属地人民政府、相关行业及行政主管部门的相关要求落实。</w:t>
      </w:r>
    </w:p>
    <w:p w14:paraId="6D5721F6">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五、甲、乙双方均同意自签订本补充合同之日起</w:t>
      </w:r>
      <w:r>
        <w:rPr>
          <w:rFonts w:ascii="Times New Roman" w:hAnsi="Times New Roman" w:eastAsia="仿宋_GB2312" w:cs="Times New Roman"/>
          <w:sz w:val="28"/>
          <w:szCs w:val="28"/>
          <w:highlight w:val="none"/>
        </w:rPr>
        <w:t>10</w:t>
      </w:r>
      <w:r>
        <w:rPr>
          <w:rFonts w:hint="eastAsia" w:ascii="Times New Roman" w:hAnsi="Times New Roman" w:eastAsia="仿宋_GB2312" w:cs="Times New Roman"/>
          <w:sz w:val="28"/>
          <w:szCs w:val="28"/>
          <w:highlight w:val="none"/>
        </w:rPr>
        <w:t>日</w:t>
      </w:r>
      <w:r>
        <w:rPr>
          <w:rFonts w:hint="eastAsia" w:ascii="Times New Roman" w:hAnsi="Times New Roman" w:eastAsia="仿宋_GB2312" w:cs="Times New Roman"/>
          <w:sz w:val="28"/>
          <w:szCs w:val="28"/>
        </w:rPr>
        <w:t>内一次性补缴土地出让金总额</w:t>
      </w:r>
      <w:r>
        <w:rPr>
          <w:rFonts w:ascii="Times New Roman" w:hAnsi="Times New Roman" w:eastAsia="仿宋_GB2312" w:cs="Times New Roman"/>
          <w:sz w:val="28"/>
          <w:szCs w:val="28"/>
          <w:highlight w:val="none"/>
        </w:rPr>
        <w:t>XX</w:t>
      </w:r>
      <w:r>
        <w:rPr>
          <w:rFonts w:hint="eastAsia" w:ascii="Times New Roman" w:hAnsi="Times New Roman" w:eastAsia="仿宋_GB2312" w:cs="Times New Roman"/>
          <w:sz w:val="28"/>
          <w:szCs w:val="28"/>
          <w:highlight w:val="none"/>
        </w:rPr>
        <w:t>元（大写：</w:t>
      </w:r>
      <w:r>
        <w:rPr>
          <w:rFonts w:ascii="Times New Roman" w:hAnsi="Times New Roman" w:eastAsia="仿宋_GB2312" w:cs="Times New Roman"/>
          <w:sz w:val="28"/>
          <w:szCs w:val="28"/>
          <w:highlight w:val="none"/>
        </w:rPr>
        <w:t>XX</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rPr>
        <w:t>，逾期未缴纳按照《出让合同》</w:t>
      </w:r>
      <w:r>
        <w:rPr>
          <w:rFonts w:hint="eastAsia" w:ascii="Times New Roman" w:hAnsi="Times New Roman" w:eastAsia="仿宋_GB2312" w:cs="Times New Roman"/>
          <w:sz w:val="28"/>
          <w:szCs w:val="28"/>
          <w:highlight w:val="none"/>
        </w:rPr>
        <w:t>第七章第三十五条</w:t>
      </w:r>
      <w:r>
        <w:rPr>
          <w:rFonts w:hint="eastAsia" w:ascii="Times New Roman" w:hAnsi="Times New Roman" w:eastAsia="仿宋_GB2312" w:cs="Times New Roman"/>
          <w:sz w:val="28"/>
          <w:szCs w:val="28"/>
        </w:rPr>
        <w:t>认定违约责任。</w:t>
      </w:r>
    </w:p>
    <w:p w14:paraId="1A1DBA11">
      <w:pPr>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六、乙方同意本</w:t>
      </w:r>
      <w:r>
        <w:rPr>
          <w:rFonts w:hint="eastAsia" w:ascii="Times New Roman" w:hAnsi="Times New Roman" w:eastAsia="仿宋_GB2312" w:cs="Times New Roman"/>
          <w:sz w:val="28"/>
          <w:szCs w:val="28"/>
        </w:rPr>
        <w:t>补充合同</w:t>
      </w:r>
      <w:r>
        <w:rPr>
          <w:rFonts w:hint="eastAsia" w:ascii="Times New Roman" w:hAnsi="Times New Roman" w:eastAsia="仿宋_GB2312" w:cs="Times New Roman"/>
          <w:sz w:val="28"/>
          <w:szCs w:val="28"/>
          <w:highlight w:val="none"/>
        </w:rPr>
        <w:t>项下宗地</w:t>
      </w:r>
      <w:r>
        <w:rPr>
          <w:rFonts w:hint="eastAsia" w:ascii="Times New Roman" w:hAnsi="Times New Roman" w:eastAsia="仿宋_GB2312" w:cs="Times New Roman"/>
          <w:sz w:val="28"/>
          <w:szCs w:val="28"/>
        </w:rPr>
        <w:t>所有</w:t>
      </w:r>
      <w:r>
        <w:rPr>
          <w:rFonts w:hint="eastAsia" w:ascii="Times New Roman" w:hAnsi="Times New Roman" w:eastAsia="仿宋_GB2312" w:cs="Times New Roman"/>
          <w:sz w:val="28"/>
          <w:szCs w:val="28"/>
          <w:highlight w:val="none"/>
        </w:rPr>
        <w:t>建设项目在</w:t>
      </w:r>
      <w:r>
        <w:rPr>
          <w:rFonts w:hint="eastAsia" w:ascii="Times New Roman" w:hAnsi="Times New Roman" w:eastAsia="仿宋_GB2312" w:cs="Times New Roman"/>
          <w:sz w:val="28"/>
          <w:szCs w:val="28"/>
        </w:rPr>
        <w:t>签订交付土地确认书之日起</w:t>
      </w:r>
      <w:r>
        <w:rPr>
          <w:rFonts w:hint="eastAsia" w:ascii="Times New Roman" w:hAnsi="Times New Roman" w:eastAsia="仿宋_GB2312" w:cs="Times New Roman"/>
          <w:sz w:val="28"/>
          <w:szCs w:val="28"/>
          <w:lang w:val="en-US" w:eastAsia="zh-CN"/>
        </w:rPr>
        <w:t>1年内开工，3</w:t>
      </w:r>
      <w:r>
        <w:rPr>
          <w:rFonts w:hint="eastAsia" w:ascii="Times New Roman" w:hAnsi="Times New Roman" w:eastAsia="仿宋_GB2312" w:cs="Times New Roman"/>
          <w:sz w:val="28"/>
          <w:szCs w:val="28"/>
        </w:rPr>
        <w:t>年内</w:t>
      </w:r>
      <w:r>
        <w:rPr>
          <w:rFonts w:hint="eastAsia" w:ascii="Times New Roman" w:hAnsi="Times New Roman" w:eastAsia="仿宋_GB2312" w:cs="Times New Roman"/>
          <w:sz w:val="28"/>
          <w:szCs w:val="28"/>
          <w:highlight w:val="none"/>
        </w:rPr>
        <w:t>竣工。</w:t>
      </w:r>
    </w:p>
    <w:p w14:paraId="1BD325D5">
      <w:pPr>
        <w:ind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七、关于本补充合同中的变更事项，乙方承诺已经征得相关权利人的同意，因本补充合同的签订、履行导致第三方主体主张相应权利的，乙方负责解决并承担责任。乙方处分本合同项</w:t>
      </w:r>
      <w:r>
        <w:rPr>
          <w:rFonts w:hint="eastAsia" w:ascii="Times New Roman" w:hAnsi="Times New Roman" w:eastAsia="仿宋_GB2312" w:cs="Times New Roman"/>
          <w:sz w:val="28"/>
          <w:szCs w:val="28"/>
          <w:highlight w:val="none"/>
          <w:lang w:val="en-US" w:eastAsia="zh-CN"/>
        </w:rPr>
        <w:t>下宗地</w:t>
      </w:r>
      <w:r>
        <w:rPr>
          <w:rFonts w:hint="eastAsia" w:ascii="Times New Roman" w:hAnsi="Times New Roman" w:eastAsia="仿宋_GB2312" w:cs="Times New Roman"/>
          <w:sz w:val="28"/>
          <w:szCs w:val="28"/>
        </w:rPr>
        <w:t>使用权产生的一切经济损失、社会责任和法律责任均由乙方自行解决。</w:t>
      </w:r>
    </w:p>
    <w:p w14:paraId="07E4D9C0">
      <w:pPr>
        <w:spacing w:before="0"/>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八、本补充合同是《出让合同》、《补充合同》、《补充合同一》、《补充合同二》、《补充合同三》、《补充合同四》的补充，与《出让合同》具有同等法律效力。</w:t>
      </w:r>
    </w:p>
    <w:p w14:paraId="7B943FC5">
      <w:pPr>
        <w:spacing w:before="0"/>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九、因签订本补充合同涉及《出让合同》、《补充合同》、《补充合同一》、《补充合同二》、《补充合同三》、《补充合同四》中的相关条款的，相关条款内容进行相应调整，其余条款仍然执行。如涉及相关政策</w:t>
      </w:r>
      <w:r>
        <w:rPr>
          <w:rFonts w:hint="eastAsia" w:ascii="Times New Roman" w:hAnsi="Times New Roman" w:eastAsia="仿宋_GB2312" w:cs="Times New Roman"/>
          <w:b w:val="0"/>
          <w:bCs w:val="0"/>
          <w:sz w:val="28"/>
          <w:szCs w:val="28"/>
          <w:highlight w:val="none"/>
        </w:rPr>
        <w:t>、</w:t>
      </w:r>
      <w:r>
        <w:rPr>
          <w:rFonts w:hint="eastAsia" w:ascii="Times New Roman" w:hAnsi="Times New Roman" w:eastAsia="仿宋_GB2312" w:cs="Times New Roman"/>
          <w:sz w:val="28"/>
          <w:szCs w:val="28"/>
        </w:rPr>
        <w:t>法规调整，《出让合同》、《补充合同》、《补充合同一》、《补充合同二》、《补充合同三》、《补充合同四》</w:t>
      </w:r>
      <w:r>
        <w:rPr>
          <w:rFonts w:hint="eastAsia" w:ascii="Times New Roman" w:hAnsi="Times New Roman" w:eastAsia="仿宋_GB2312" w:cs="Times New Roman"/>
          <w:sz w:val="28"/>
          <w:szCs w:val="28"/>
          <w:highlight w:val="none"/>
        </w:rPr>
        <w:t>条款</w:t>
      </w:r>
      <w:r>
        <w:rPr>
          <w:rFonts w:hint="eastAsia" w:ascii="Times New Roman" w:hAnsi="Times New Roman" w:eastAsia="仿宋_GB2312" w:cs="Times New Roman"/>
          <w:sz w:val="28"/>
          <w:szCs w:val="28"/>
        </w:rPr>
        <w:t>与</w:t>
      </w:r>
      <w:r>
        <w:rPr>
          <w:rFonts w:hint="eastAsia" w:ascii="Times New Roman" w:hAnsi="Times New Roman" w:eastAsia="仿宋_GB2312" w:cs="Times New Roman"/>
          <w:b w:val="0"/>
          <w:bCs w:val="0"/>
          <w:sz w:val="28"/>
          <w:szCs w:val="28"/>
          <w:highlight w:val="none"/>
        </w:rPr>
        <w:t>本补充合同生效时的</w:t>
      </w:r>
      <w:r>
        <w:rPr>
          <w:rFonts w:hint="eastAsia" w:ascii="Times New Roman" w:hAnsi="Times New Roman" w:eastAsia="仿宋_GB2312" w:cs="Times New Roman"/>
          <w:sz w:val="28"/>
          <w:szCs w:val="28"/>
        </w:rPr>
        <w:t>现行</w:t>
      </w:r>
      <w:r>
        <w:rPr>
          <w:rFonts w:hint="eastAsia" w:ascii="Times New Roman" w:hAnsi="Times New Roman" w:eastAsia="仿宋_GB2312" w:cs="Times New Roman"/>
          <w:b w:val="0"/>
          <w:bCs w:val="0"/>
          <w:sz w:val="28"/>
          <w:szCs w:val="28"/>
          <w:highlight w:val="none"/>
        </w:rPr>
        <w:t>的</w:t>
      </w:r>
      <w:r>
        <w:rPr>
          <w:rFonts w:hint="eastAsia" w:ascii="Times New Roman" w:hAnsi="Times New Roman" w:eastAsia="仿宋_GB2312" w:cs="Times New Roman"/>
          <w:sz w:val="28"/>
          <w:szCs w:val="28"/>
        </w:rPr>
        <w:t>政策</w:t>
      </w:r>
      <w:r>
        <w:rPr>
          <w:rFonts w:hint="eastAsia" w:ascii="Times New Roman" w:hAnsi="Times New Roman" w:eastAsia="仿宋_GB2312" w:cs="Times New Roman"/>
          <w:b w:val="0"/>
          <w:bCs w:val="0"/>
          <w:sz w:val="28"/>
          <w:szCs w:val="28"/>
          <w:highlight w:val="none"/>
        </w:rPr>
        <w:t>、</w:t>
      </w:r>
      <w:r>
        <w:rPr>
          <w:rFonts w:hint="eastAsia" w:ascii="Times New Roman" w:hAnsi="Times New Roman" w:eastAsia="仿宋_GB2312" w:cs="Times New Roman"/>
          <w:sz w:val="28"/>
          <w:szCs w:val="28"/>
        </w:rPr>
        <w:t>法规不一致</w:t>
      </w:r>
      <w:r>
        <w:rPr>
          <w:rFonts w:hint="eastAsia" w:ascii="Times New Roman" w:hAnsi="Times New Roman" w:eastAsia="仿宋_GB2312" w:cs="Times New Roman"/>
          <w:b w:val="0"/>
          <w:bCs w:val="0"/>
          <w:sz w:val="28"/>
          <w:szCs w:val="28"/>
          <w:highlight w:val="none"/>
        </w:rPr>
        <w:t>的</w:t>
      </w:r>
      <w:r>
        <w:rPr>
          <w:rFonts w:hint="eastAsia" w:ascii="Times New Roman" w:hAnsi="Times New Roman" w:eastAsia="仿宋_GB2312" w:cs="Times New Roman"/>
          <w:sz w:val="28"/>
          <w:szCs w:val="28"/>
        </w:rPr>
        <w:t>，</w:t>
      </w:r>
      <w:r>
        <w:rPr>
          <w:rFonts w:hint="eastAsia" w:ascii="Times New Roman" w:hAnsi="Times New Roman" w:eastAsia="仿宋_GB2312" w:cs="Times New Roman"/>
          <w:b w:val="0"/>
          <w:bCs w:val="0"/>
          <w:sz w:val="28"/>
          <w:szCs w:val="28"/>
          <w:highlight w:val="none"/>
        </w:rPr>
        <w:t>统一</w:t>
      </w:r>
      <w:r>
        <w:rPr>
          <w:rFonts w:hint="eastAsia" w:ascii="Times New Roman" w:hAnsi="Times New Roman" w:eastAsia="仿宋_GB2312" w:cs="Times New Roman"/>
          <w:sz w:val="28"/>
          <w:szCs w:val="28"/>
        </w:rPr>
        <w:t>按现行政策</w:t>
      </w:r>
      <w:r>
        <w:rPr>
          <w:rFonts w:hint="eastAsia" w:ascii="Times New Roman" w:hAnsi="Times New Roman" w:eastAsia="仿宋_GB2312" w:cs="Times New Roman"/>
          <w:b w:val="0"/>
          <w:bCs w:val="0"/>
          <w:sz w:val="28"/>
          <w:szCs w:val="28"/>
          <w:highlight w:val="none"/>
        </w:rPr>
        <w:t>、</w:t>
      </w:r>
      <w:r>
        <w:rPr>
          <w:rFonts w:hint="eastAsia" w:ascii="Times New Roman" w:hAnsi="Times New Roman" w:eastAsia="仿宋_GB2312" w:cs="Times New Roman"/>
          <w:sz w:val="28"/>
          <w:szCs w:val="28"/>
        </w:rPr>
        <w:t>法规执行</w:t>
      </w:r>
      <w:r>
        <w:rPr>
          <w:rFonts w:hint="eastAsia" w:ascii="Times New Roman" w:hAnsi="Times New Roman" w:eastAsia="仿宋_GB2312" w:cs="Times New Roman"/>
          <w:b w:val="0"/>
          <w:bCs w:val="0"/>
          <w:sz w:val="28"/>
          <w:szCs w:val="28"/>
          <w:highlight w:val="none"/>
        </w:rPr>
        <w:t>，不再单独列举修改</w:t>
      </w:r>
      <w:r>
        <w:rPr>
          <w:rFonts w:hint="eastAsia" w:ascii="Times New Roman" w:hAnsi="Times New Roman" w:eastAsia="仿宋_GB2312" w:cs="Times New Roman"/>
          <w:sz w:val="28"/>
          <w:szCs w:val="28"/>
        </w:rPr>
        <w:t>。</w:t>
      </w:r>
    </w:p>
    <w:p w14:paraId="0A1F041A">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十、本补充合同一式肆份，甲、乙双方各执贰份。</w:t>
      </w:r>
    </w:p>
    <w:p w14:paraId="3AFA40C9">
      <w:pPr>
        <w:ind w:firstLine="560" w:firstLineChars="200"/>
        <w:rPr>
          <w:rFonts w:ascii="Times New Roman" w:hAnsi="Times New Roman" w:eastAsia="仿宋_GB2312" w:cs="Times New Roman"/>
        </w:rPr>
      </w:pPr>
      <w:r>
        <w:rPr>
          <w:rFonts w:hint="eastAsia" w:ascii="Times New Roman" w:hAnsi="Times New Roman" w:eastAsia="仿宋_GB2312" w:cs="Times New Roman"/>
          <w:sz w:val="28"/>
          <w:szCs w:val="28"/>
        </w:rPr>
        <w:t>十一、本补充合同经甲、乙双方签字盖章后生效。</w:t>
      </w:r>
    </w:p>
    <w:p w14:paraId="596F0B86">
      <w:pPr>
        <w:ind w:firstLine="420"/>
        <w:rPr>
          <w:rFonts w:ascii="Times New Roman" w:hAnsi="Times New Roman" w:eastAsia="仿宋_GB2312" w:cs="Times New Roman"/>
        </w:rPr>
      </w:pPr>
    </w:p>
    <w:p w14:paraId="25F4198A">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甲方：（章）</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乙方：（章）</w:t>
      </w:r>
    </w:p>
    <w:p w14:paraId="0311D9FF">
      <w:pPr>
        <w:ind w:firstLine="560" w:firstLineChars="200"/>
        <w:rPr>
          <w:rFonts w:ascii="Times New Roman" w:hAnsi="Times New Roman" w:eastAsia="仿宋_GB2312" w:cs="Times New Roman"/>
          <w:sz w:val="28"/>
          <w:szCs w:val="28"/>
        </w:rPr>
      </w:pPr>
    </w:p>
    <w:p w14:paraId="7F181E45">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天津市规划和自然资源局东丽分局</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天津天安泛科技园开发有限公司</w:t>
      </w:r>
    </w:p>
    <w:p w14:paraId="38390CB1">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2318F644">
      <w:pPr>
        <w:ind w:firstLine="840" w:firstLineChars="300"/>
        <w:rPr>
          <w:rFonts w:ascii="Times New Roman" w:hAnsi="Times New Roman" w:eastAsia="仿宋_GB2312" w:cs="Times New Roman"/>
          <w:sz w:val="28"/>
          <w:szCs w:val="28"/>
        </w:rPr>
      </w:pPr>
    </w:p>
    <w:p w14:paraId="76DC80B9">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法定代表人（委托代理人）：</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法定代表人（委托代理人）：</w:t>
      </w:r>
    </w:p>
    <w:p w14:paraId="03F9E21B">
      <w:pPr>
        <w:ind w:firstLine="840" w:firstLineChars="300"/>
        <w:rPr>
          <w:rFonts w:ascii="Times New Roman" w:hAnsi="Times New Roman" w:eastAsia="仿宋_GB2312" w:cs="Times New Roman"/>
          <w:sz w:val="28"/>
          <w:szCs w:val="28"/>
        </w:rPr>
      </w:pPr>
    </w:p>
    <w:p w14:paraId="1496988E">
      <w:pPr>
        <w:ind w:firstLine="1120" w:firstLineChars="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（签字）</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（签字）</w:t>
      </w:r>
    </w:p>
    <w:p w14:paraId="4A82E1BE">
      <w:pPr>
        <w:ind w:firstLine="1120" w:firstLineChars="400"/>
        <w:rPr>
          <w:rFonts w:ascii="Times New Roman" w:hAnsi="Times New Roman" w:eastAsia="仿宋_GB2312" w:cs="Times New Roman"/>
          <w:sz w:val="28"/>
          <w:szCs w:val="28"/>
        </w:rPr>
      </w:pPr>
    </w:p>
    <w:p w14:paraId="403D96C7">
      <w:pPr>
        <w:rPr>
          <w:rFonts w:hint="eastAsia" w:ascii="Times New Roman"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04EDF"/>
    <w:multiLevelType w:val="singleLevel"/>
    <w:tmpl w:val="57D04E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DF"/>
    <w:rsid w:val="000133BE"/>
    <w:rsid w:val="000978DD"/>
    <w:rsid w:val="000C04F1"/>
    <w:rsid w:val="000F3A5C"/>
    <w:rsid w:val="00187B4B"/>
    <w:rsid w:val="001D509C"/>
    <w:rsid w:val="00204499"/>
    <w:rsid w:val="00207791"/>
    <w:rsid w:val="00251717"/>
    <w:rsid w:val="002772C3"/>
    <w:rsid w:val="002F4728"/>
    <w:rsid w:val="00331588"/>
    <w:rsid w:val="003A6280"/>
    <w:rsid w:val="003E5D41"/>
    <w:rsid w:val="003E64D5"/>
    <w:rsid w:val="004067AB"/>
    <w:rsid w:val="00423C40"/>
    <w:rsid w:val="00483CFF"/>
    <w:rsid w:val="004A54B8"/>
    <w:rsid w:val="00525B6D"/>
    <w:rsid w:val="00683232"/>
    <w:rsid w:val="006A7172"/>
    <w:rsid w:val="006B4B87"/>
    <w:rsid w:val="006D601D"/>
    <w:rsid w:val="00702945"/>
    <w:rsid w:val="00743E6A"/>
    <w:rsid w:val="00780E71"/>
    <w:rsid w:val="007A3CFE"/>
    <w:rsid w:val="007B645E"/>
    <w:rsid w:val="007E4B38"/>
    <w:rsid w:val="00834E73"/>
    <w:rsid w:val="008708DB"/>
    <w:rsid w:val="0088218F"/>
    <w:rsid w:val="00894CCF"/>
    <w:rsid w:val="008A5CB0"/>
    <w:rsid w:val="008D6714"/>
    <w:rsid w:val="00904154"/>
    <w:rsid w:val="00922E68"/>
    <w:rsid w:val="009D65DF"/>
    <w:rsid w:val="00A914E1"/>
    <w:rsid w:val="00A93C95"/>
    <w:rsid w:val="00B12D1C"/>
    <w:rsid w:val="00B31810"/>
    <w:rsid w:val="00B40C5C"/>
    <w:rsid w:val="00B92026"/>
    <w:rsid w:val="00C91664"/>
    <w:rsid w:val="00CE5596"/>
    <w:rsid w:val="00CF1366"/>
    <w:rsid w:val="00DE3218"/>
    <w:rsid w:val="00E52197"/>
    <w:rsid w:val="00E602D0"/>
    <w:rsid w:val="00F0182E"/>
    <w:rsid w:val="0242370B"/>
    <w:rsid w:val="091F2E8C"/>
    <w:rsid w:val="09481F18"/>
    <w:rsid w:val="096864F2"/>
    <w:rsid w:val="0BC61CB3"/>
    <w:rsid w:val="0DC00E2E"/>
    <w:rsid w:val="112C3164"/>
    <w:rsid w:val="14183A58"/>
    <w:rsid w:val="156A460A"/>
    <w:rsid w:val="1BBF7F24"/>
    <w:rsid w:val="1BE8170A"/>
    <w:rsid w:val="1CAA04F6"/>
    <w:rsid w:val="1CE03D5A"/>
    <w:rsid w:val="1E712FE4"/>
    <w:rsid w:val="22E0648C"/>
    <w:rsid w:val="232B6D8F"/>
    <w:rsid w:val="23E222EB"/>
    <w:rsid w:val="23FD05A2"/>
    <w:rsid w:val="29A46EBA"/>
    <w:rsid w:val="2F330F18"/>
    <w:rsid w:val="3AAC74AE"/>
    <w:rsid w:val="3DC563D4"/>
    <w:rsid w:val="41673ACC"/>
    <w:rsid w:val="42167A4E"/>
    <w:rsid w:val="4A8F61D2"/>
    <w:rsid w:val="4B457CD4"/>
    <w:rsid w:val="4DC909E2"/>
    <w:rsid w:val="516C1447"/>
    <w:rsid w:val="576F49BC"/>
    <w:rsid w:val="59A02040"/>
    <w:rsid w:val="5B412C0E"/>
    <w:rsid w:val="5BDE31AA"/>
    <w:rsid w:val="5C3A62DE"/>
    <w:rsid w:val="5CBC248E"/>
    <w:rsid w:val="5D9A5190"/>
    <w:rsid w:val="5F4F0AC1"/>
    <w:rsid w:val="5F7530BE"/>
    <w:rsid w:val="65F8567D"/>
    <w:rsid w:val="69324A43"/>
    <w:rsid w:val="6A1A04EC"/>
    <w:rsid w:val="6D3F3B91"/>
    <w:rsid w:val="6DD34728"/>
    <w:rsid w:val="6F6B0A69"/>
    <w:rsid w:val="6F980FE9"/>
    <w:rsid w:val="75E87925"/>
    <w:rsid w:val="77A853FD"/>
    <w:rsid w:val="79EC5791"/>
    <w:rsid w:val="7CD368D7"/>
    <w:rsid w:val="7FEE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annotation reference"/>
    <w:basedOn w:val="7"/>
    <w:semiHidden/>
    <w:unhideWhenUsed/>
    <w:qFormat/>
    <w:uiPriority w:val="99"/>
    <w:rPr>
      <w:sz w:val="21"/>
      <w:szCs w:val="21"/>
    </w:rPr>
  </w:style>
  <w:style w:type="paragraph" w:styleId="10">
    <w:name w:val="List Paragraph"/>
    <w:basedOn w:val="1"/>
    <w:qFormat/>
    <w:uiPriority w:val="34"/>
    <w:pPr>
      <w:ind w:firstLine="420" w:firstLineChars="200"/>
    </w:pPr>
  </w:style>
  <w:style w:type="character" w:styleId="11">
    <w:name w:val="Placeholder Text"/>
    <w:basedOn w:val="7"/>
    <w:semiHidden/>
    <w:qFormat/>
    <w:uiPriority w:val="99"/>
    <w:rPr>
      <w:color w:val="808080"/>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character" w:customStyle="1" w:styleId="14">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2156</Words>
  <Characters>2383</Characters>
  <Lines>29</Lines>
  <Paragraphs>8</Paragraphs>
  <TotalTime>3</TotalTime>
  <ScaleCrop>false</ScaleCrop>
  <LinksUpToDate>false</LinksUpToDate>
  <CharactersWithSpaces>2466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2025-11-27T03:44:00Z</dcterms:created>
  <dc:creator>高家欢</dc:creator>
  <cp:lastModifiedBy>Z</cp:lastModifiedBy>
  <cp:lastPrinted>2025-12-08T09:42:00Z</cp:lastPrinted>
  <dcterms:modified xsi:type="dcterms:W3CDTF">2025-12-11T04:55:21Z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eyJoZGlkIjoiNjQ4MTcyMTM3ZjM5YmQ0YzBhYjVhMGMxZmZmMTdiYWUiLCJ1c2VySWQiOiIxMjM0MzQ2NzE2In0=</vt:lpwstr>
  </property>
  <property fmtid="{D5CDD505-2E9C-101B-9397-08002B2CF9AE}" pid="3" name="KSOProductBuildVer">
    <vt:lpwstr>2052-12.1.0.24034</vt:lpwstr>
  </property>
  <property fmtid="{D5CDD505-2E9C-101B-9397-08002B2CF9AE}" pid="4" name="ICV">
    <vt:lpwstr>663691A664FC4A409C457E970EF5C513</vt:lpwstr>
  </property>
</Properties>
</file>