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3E1" w:rsidRPr="004943E1" w:rsidRDefault="004943E1" w:rsidP="004943E1">
      <w:pPr>
        <w:adjustRightInd w:val="0"/>
        <w:snapToGrid w:val="0"/>
        <w:spacing w:line="360" w:lineRule="auto"/>
        <w:jc w:val="center"/>
        <w:outlineLvl w:val="0"/>
        <w:rPr>
          <w:rFonts w:ascii="Times New Roman" w:eastAsia="宋体" w:hAnsi="Times New Roman" w:cs="Times New Roman"/>
          <w:b/>
          <w:color w:val="000000"/>
          <w:sz w:val="28"/>
          <w:szCs w:val="28"/>
          <w:lang w:val="zh-CN"/>
        </w:rPr>
      </w:pPr>
      <w:bookmarkStart w:id="0" w:name="_Hlk188535924"/>
      <w:r w:rsidRPr="004943E1">
        <w:rPr>
          <w:rFonts w:ascii="Times New Roman" w:eastAsia="宋体" w:hAnsi="Times New Roman" w:cs="Times New Roman"/>
          <w:b/>
          <w:color w:val="000000"/>
          <w:sz w:val="28"/>
          <w:szCs w:val="28"/>
          <w:lang w:val="zh-CN"/>
        </w:rPr>
        <w:t>西青区</w:t>
      </w:r>
      <w:r w:rsidRPr="004943E1">
        <w:rPr>
          <w:rFonts w:ascii="Times New Roman" w:eastAsia="宋体" w:hAnsi="Times New Roman" w:cs="Times New Roman"/>
          <w:b/>
          <w:color w:val="000000"/>
          <w:sz w:val="28"/>
          <w:szCs w:val="28"/>
          <w:lang w:val="zh-CN"/>
        </w:rPr>
        <w:t>11P—24—02</w:t>
      </w:r>
      <w:r w:rsidRPr="004943E1">
        <w:rPr>
          <w:rFonts w:ascii="Times New Roman" w:eastAsia="宋体" w:hAnsi="Times New Roman" w:cs="Times New Roman"/>
          <w:b/>
          <w:color w:val="000000"/>
          <w:sz w:val="28"/>
          <w:szCs w:val="28"/>
          <w:lang w:val="zh-CN"/>
        </w:rPr>
        <w:t>单元</w:t>
      </w:r>
      <w:r w:rsidRPr="004943E1">
        <w:rPr>
          <w:rFonts w:ascii="Times New Roman" w:eastAsia="宋体" w:hAnsi="Times New Roman" w:cs="Times New Roman"/>
          <w:b/>
          <w:color w:val="000000"/>
          <w:sz w:val="28"/>
          <w:szCs w:val="28"/>
          <w:lang w:val="zh-CN"/>
        </w:rPr>
        <w:t>03</w:t>
      </w:r>
      <w:r w:rsidRPr="004943E1">
        <w:rPr>
          <w:rFonts w:ascii="Times New Roman" w:eastAsia="宋体" w:hAnsi="Times New Roman" w:cs="Times New Roman"/>
          <w:b/>
          <w:color w:val="000000"/>
          <w:sz w:val="28"/>
          <w:szCs w:val="28"/>
          <w:lang w:val="zh-CN"/>
        </w:rPr>
        <w:t>街坊（智能网联）控制性详细规划控制指标一览表</w:t>
      </w:r>
    </w:p>
    <w:tbl>
      <w:tblPr>
        <w:tblW w:w="4645" w:type="pct"/>
        <w:tblLook w:val="0000" w:firstRow="0" w:lastRow="0" w:firstColumn="0" w:lastColumn="0" w:noHBand="0" w:noVBand="0"/>
      </w:tblPr>
      <w:tblGrid>
        <w:gridCol w:w="705"/>
        <w:gridCol w:w="1312"/>
        <w:gridCol w:w="946"/>
        <w:gridCol w:w="2234"/>
        <w:gridCol w:w="1312"/>
        <w:gridCol w:w="977"/>
        <w:gridCol w:w="1054"/>
        <w:gridCol w:w="938"/>
        <w:gridCol w:w="1041"/>
        <w:gridCol w:w="782"/>
        <w:gridCol w:w="1383"/>
        <w:gridCol w:w="269"/>
      </w:tblGrid>
      <w:tr w:rsidR="004943E1" w:rsidRPr="004943E1" w:rsidTr="00E1572D">
        <w:trPr>
          <w:gridAfter w:val="1"/>
          <w:wAfter w:w="106" w:type="pct"/>
          <w:trHeight w:val="910"/>
        </w:trPr>
        <w:tc>
          <w:tcPr>
            <w:tcW w:w="27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43E1" w:rsidRPr="004943E1" w:rsidRDefault="004943E1" w:rsidP="004943E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943E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街坊编号</w:t>
            </w:r>
          </w:p>
        </w:tc>
        <w:tc>
          <w:tcPr>
            <w:tcW w:w="50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43E1" w:rsidRPr="004943E1" w:rsidRDefault="004943E1" w:rsidP="004943E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943E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地块编号</w:t>
            </w:r>
          </w:p>
        </w:tc>
        <w:tc>
          <w:tcPr>
            <w:tcW w:w="36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43E1" w:rsidRPr="004943E1" w:rsidRDefault="004943E1" w:rsidP="004943E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943E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主导用地性质代码</w:t>
            </w:r>
          </w:p>
        </w:tc>
        <w:tc>
          <w:tcPr>
            <w:tcW w:w="86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43E1" w:rsidRPr="004943E1" w:rsidRDefault="004943E1" w:rsidP="004943E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943E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用地性质</w:t>
            </w:r>
          </w:p>
        </w:tc>
        <w:tc>
          <w:tcPr>
            <w:tcW w:w="50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43E1" w:rsidRPr="004943E1" w:rsidRDefault="004943E1" w:rsidP="004943E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943E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用地面积（公顷）</w:t>
            </w:r>
          </w:p>
        </w:tc>
        <w:tc>
          <w:tcPr>
            <w:tcW w:w="38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43E1" w:rsidRPr="004943E1" w:rsidRDefault="004943E1" w:rsidP="004943E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943E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容积率</w:t>
            </w:r>
          </w:p>
        </w:tc>
        <w:tc>
          <w:tcPr>
            <w:tcW w:w="40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43E1" w:rsidRPr="004943E1" w:rsidRDefault="004943E1" w:rsidP="004943E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943E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建筑密度（</w:t>
            </w:r>
            <w:r w:rsidRPr="004943E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%</w:t>
            </w:r>
            <w:r w:rsidRPr="004943E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3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943E1" w:rsidRPr="004943E1" w:rsidRDefault="004943E1" w:rsidP="004943E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943E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绿地率（</w:t>
            </w:r>
            <w:r w:rsidRPr="004943E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%</w:t>
            </w:r>
            <w:r w:rsidRPr="004943E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3E1" w:rsidRPr="004943E1" w:rsidRDefault="004943E1" w:rsidP="004943E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943E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建筑高度（</w:t>
            </w:r>
            <w:r w:rsidRPr="004943E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</w:t>
            </w:r>
            <w:r w:rsidRPr="004943E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0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43E1" w:rsidRPr="004943E1" w:rsidRDefault="004943E1" w:rsidP="004943E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943E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配套设施</w:t>
            </w:r>
          </w:p>
        </w:tc>
        <w:tc>
          <w:tcPr>
            <w:tcW w:w="5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43E1" w:rsidRPr="004943E1" w:rsidRDefault="004943E1" w:rsidP="004943E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943E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4943E1" w:rsidRPr="004943E1" w:rsidTr="00E1572D">
        <w:trPr>
          <w:trHeight w:val="290"/>
        </w:trPr>
        <w:tc>
          <w:tcPr>
            <w:tcW w:w="27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43E1" w:rsidRPr="004943E1" w:rsidRDefault="004943E1" w:rsidP="004943E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43E1" w:rsidRPr="004943E1" w:rsidRDefault="004943E1" w:rsidP="004943E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43E1" w:rsidRPr="004943E1" w:rsidRDefault="004943E1" w:rsidP="004943E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43E1" w:rsidRPr="004943E1" w:rsidRDefault="004943E1" w:rsidP="004943E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43E1" w:rsidRPr="004943E1" w:rsidRDefault="004943E1" w:rsidP="004943E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43E1" w:rsidRPr="004943E1" w:rsidRDefault="004943E1" w:rsidP="004943E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43E1" w:rsidRPr="004943E1" w:rsidRDefault="004943E1" w:rsidP="004943E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943E1" w:rsidRPr="004943E1" w:rsidRDefault="004943E1" w:rsidP="004943E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3E1" w:rsidRPr="004943E1" w:rsidRDefault="004943E1" w:rsidP="004943E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43E1" w:rsidRPr="004943E1" w:rsidRDefault="004943E1" w:rsidP="004943E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43E1" w:rsidRPr="004943E1" w:rsidRDefault="004943E1" w:rsidP="004943E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43E1" w:rsidRPr="004943E1" w:rsidRDefault="004943E1" w:rsidP="004943E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943E1" w:rsidRPr="004943E1" w:rsidTr="00E1572D">
        <w:trPr>
          <w:trHeight w:val="370"/>
        </w:trPr>
        <w:tc>
          <w:tcPr>
            <w:tcW w:w="27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43E1" w:rsidRPr="004943E1" w:rsidRDefault="004943E1" w:rsidP="004943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943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43E1" w:rsidRPr="004943E1" w:rsidRDefault="004943E1" w:rsidP="00BF34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943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03</w:t>
            </w:r>
            <w:r w:rsidR="00BF347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-</w:t>
            </w:r>
            <w:r w:rsidRPr="004943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43E1" w:rsidRPr="004943E1" w:rsidRDefault="004943E1" w:rsidP="004943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943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G2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43E1" w:rsidRPr="004943E1" w:rsidRDefault="004943E1" w:rsidP="004943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943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防护绿地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43E1" w:rsidRPr="004943E1" w:rsidRDefault="004943E1" w:rsidP="004943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943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14.90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943E1" w:rsidRPr="004943E1" w:rsidRDefault="004943E1" w:rsidP="004943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943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943E1" w:rsidRPr="004943E1" w:rsidRDefault="004943E1" w:rsidP="004943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943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943E1" w:rsidRPr="004943E1" w:rsidRDefault="004943E1" w:rsidP="004943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943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≥90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3E1" w:rsidRPr="004943E1" w:rsidRDefault="004943E1" w:rsidP="004943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943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943E1" w:rsidRPr="004943E1" w:rsidRDefault="004943E1" w:rsidP="004943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943E1" w:rsidRPr="004943E1" w:rsidRDefault="004943E1" w:rsidP="004943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" w:type="pct"/>
            <w:vAlign w:val="center"/>
          </w:tcPr>
          <w:p w:rsidR="004943E1" w:rsidRPr="004943E1" w:rsidRDefault="004943E1" w:rsidP="004943E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943E1" w:rsidRPr="004943E1" w:rsidTr="00E1572D">
        <w:trPr>
          <w:trHeight w:val="370"/>
        </w:trPr>
        <w:tc>
          <w:tcPr>
            <w:tcW w:w="27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43E1" w:rsidRPr="004943E1" w:rsidRDefault="004943E1" w:rsidP="004943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43E1" w:rsidRPr="004943E1" w:rsidRDefault="004943E1" w:rsidP="00BF34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943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03</w:t>
            </w:r>
            <w:r w:rsidR="00BF347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-</w:t>
            </w:r>
            <w:r w:rsidRPr="004943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43E1" w:rsidRPr="004943E1" w:rsidRDefault="004943E1" w:rsidP="004943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943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43E1" w:rsidRPr="004943E1" w:rsidRDefault="004943E1" w:rsidP="004943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1" w:name="_Hlk170993399"/>
            <w:r w:rsidRPr="004943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道路与交通设施用地</w:t>
            </w:r>
            <w:bookmarkEnd w:id="1"/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43E1" w:rsidRPr="004943E1" w:rsidRDefault="004943E1" w:rsidP="004943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943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98.38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943E1" w:rsidRPr="004943E1" w:rsidRDefault="004943E1" w:rsidP="004943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943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≤0.3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943E1" w:rsidRPr="004943E1" w:rsidRDefault="004943E1" w:rsidP="004943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943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943E1" w:rsidRPr="004943E1" w:rsidRDefault="004943E1" w:rsidP="004943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943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3E1" w:rsidRPr="004943E1" w:rsidRDefault="004943E1" w:rsidP="004943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943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943E1" w:rsidRPr="004943E1" w:rsidRDefault="004943E1" w:rsidP="004943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943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排水设施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943E1" w:rsidRPr="004943E1" w:rsidRDefault="004943E1" w:rsidP="004943E1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943E1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容积率为上限控制，具体建设规模按相关专业要求控制</w:t>
            </w:r>
          </w:p>
        </w:tc>
        <w:tc>
          <w:tcPr>
            <w:tcW w:w="106" w:type="pct"/>
            <w:vAlign w:val="center"/>
          </w:tcPr>
          <w:p w:rsidR="004943E1" w:rsidRPr="004943E1" w:rsidRDefault="004943E1" w:rsidP="004943E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4943E1" w:rsidRPr="004943E1" w:rsidRDefault="004943E1" w:rsidP="004943E1">
      <w:pPr>
        <w:snapToGrid w:val="0"/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4943E1">
        <w:rPr>
          <w:rFonts w:ascii="Times New Roman" w:eastAsia="宋体" w:hAnsi="Times New Roman" w:cs="Times New Roman"/>
          <w:sz w:val="24"/>
          <w:szCs w:val="28"/>
        </w:rPr>
        <w:t>注：</w:t>
      </w:r>
    </w:p>
    <w:p w:rsidR="004943E1" w:rsidRPr="004943E1" w:rsidRDefault="004943E1" w:rsidP="004943E1">
      <w:pPr>
        <w:snapToGrid w:val="0"/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4943E1">
        <w:rPr>
          <w:rFonts w:ascii="Times New Roman" w:eastAsia="宋体" w:hAnsi="Times New Roman" w:cs="Times New Roman"/>
          <w:sz w:val="24"/>
          <w:szCs w:val="28"/>
        </w:rPr>
        <w:t>1</w:t>
      </w:r>
      <w:r w:rsidRPr="004943E1">
        <w:rPr>
          <w:rFonts w:ascii="Times New Roman" w:eastAsia="宋体" w:hAnsi="Times New Roman" w:cs="Times New Roman"/>
          <w:sz w:val="24"/>
          <w:szCs w:val="28"/>
        </w:rPr>
        <w:t>、按照天津市《控制性详细规划技术规程》（</w:t>
      </w:r>
      <w:r w:rsidRPr="004943E1">
        <w:rPr>
          <w:rFonts w:ascii="Times New Roman" w:eastAsia="宋体" w:hAnsi="Times New Roman" w:cs="Times New Roman"/>
          <w:sz w:val="24"/>
          <w:szCs w:val="28"/>
        </w:rPr>
        <w:t>DB12/T 1116—2021</w:t>
      </w:r>
      <w:r w:rsidRPr="004943E1">
        <w:rPr>
          <w:rFonts w:ascii="Times New Roman" w:eastAsia="宋体" w:hAnsi="Times New Roman" w:cs="Times New Roman"/>
          <w:sz w:val="24"/>
          <w:szCs w:val="28"/>
        </w:rPr>
        <w:t>）</w:t>
      </w:r>
      <w:r w:rsidRPr="004943E1">
        <w:rPr>
          <w:rFonts w:ascii="Times New Roman" w:eastAsia="宋体" w:hAnsi="Times New Roman" w:cs="Times New Roman"/>
          <w:sz w:val="24"/>
          <w:szCs w:val="28"/>
        </w:rPr>
        <w:t>“</w:t>
      </w:r>
      <w:r w:rsidRPr="004943E1">
        <w:rPr>
          <w:rFonts w:ascii="Times New Roman" w:eastAsia="宋体" w:hAnsi="Times New Roman" w:cs="Times New Roman"/>
          <w:sz w:val="24"/>
          <w:szCs w:val="28"/>
        </w:rPr>
        <w:t>规</w:t>
      </w:r>
      <w:bookmarkStart w:id="2" w:name="_GoBack"/>
      <w:bookmarkEnd w:id="2"/>
      <w:r w:rsidRPr="004943E1">
        <w:rPr>
          <w:rFonts w:ascii="Times New Roman" w:eastAsia="宋体" w:hAnsi="Times New Roman" w:cs="Times New Roman"/>
          <w:sz w:val="24"/>
          <w:szCs w:val="28"/>
        </w:rPr>
        <w:t>划执行</w:t>
      </w:r>
      <w:r w:rsidRPr="004943E1">
        <w:rPr>
          <w:rFonts w:ascii="Times New Roman" w:eastAsia="宋体" w:hAnsi="Times New Roman" w:cs="Times New Roman"/>
          <w:sz w:val="24"/>
          <w:szCs w:val="28"/>
        </w:rPr>
        <w:t>”</w:t>
      </w:r>
      <w:r w:rsidRPr="004943E1">
        <w:rPr>
          <w:rFonts w:ascii="Times New Roman" w:eastAsia="宋体" w:hAnsi="Times New Roman" w:cs="Times New Roman"/>
          <w:sz w:val="24"/>
          <w:szCs w:val="28"/>
        </w:rPr>
        <w:t>的相关要求，开展规划实施；</w:t>
      </w:r>
    </w:p>
    <w:p w:rsidR="004943E1" w:rsidRPr="004943E1" w:rsidRDefault="004943E1" w:rsidP="004943E1">
      <w:pPr>
        <w:snapToGrid w:val="0"/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4943E1">
        <w:rPr>
          <w:rFonts w:ascii="Times New Roman" w:eastAsia="宋体" w:hAnsi="Times New Roman" w:cs="Times New Roman"/>
          <w:sz w:val="24"/>
          <w:szCs w:val="28"/>
        </w:rPr>
        <w:t>2</w:t>
      </w:r>
      <w:r w:rsidRPr="004943E1">
        <w:rPr>
          <w:rFonts w:ascii="Times New Roman" w:eastAsia="宋体" w:hAnsi="Times New Roman" w:cs="Times New Roman"/>
          <w:sz w:val="24"/>
          <w:szCs w:val="28"/>
        </w:rPr>
        <w:t>、要求建设项目需符合《天津市双城中间绿色生态屏障区规划（</w:t>
      </w:r>
      <w:r w:rsidRPr="004943E1">
        <w:rPr>
          <w:rFonts w:ascii="Times New Roman" w:eastAsia="宋体" w:hAnsi="Times New Roman" w:cs="Times New Roman"/>
          <w:sz w:val="24"/>
          <w:szCs w:val="28"/>
        </w:rPr>
        <w:t>2018—2035</w:t>
      </w:r>
      <w:r w:rsidRPr="004943E1">
        <w:rPr>
          <w:rFonts w:ascii="Times New Roman" w:eastAsia="宋体" w:hAnsi="Times New Roman" w:cs="Times New Roman"/>
          <w:sz w:val="24"/>
          <w:szCs w:val="28"/>
        </w:rPr>
        <w:t>年）》《西青区双城中间绿色生态屏障区规划（</w:t>
      </w:r>
      <w:r w:rsidRPr="004943E1">
        <w:rPr>
          <w:rFonts w:ascii="Times New Roman" w:eastAsia="宋体" w:hAnsi="Times New Roman" w:cs="Times New Roman"/>
          <w:sz w:val="24"/>
          <w:szCs w:val="28"/>
        </w:rPr>
        <w:t>2018—2035</w:t>
      </w:r>
      <w:r w:rsidRPr="004943E1">
        <w:rPr>
          <w:rFonts w:ascii="Times New Roman" w:eastAsia="宋体" w:hAnsi="Times New Roman" w:cs="Times New Roman"/>
          <w:sz w:val="24"/>
          <w:szCs w:val="28"/>
        </w:rPr>
        <w:t>年）》的相关内容；</w:t>
      </w:r>
    </w:p>
    <w:p w:rsidR="004943E1" w:rsidRPr="004943E1" w:rsidRDefault="004943E1" w:rsidP="004943E1">
      <w:pPr>
        <w:snapToGrid w:val="0"/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4943E1">
        <w:rPr>
          <w:rFonts w:ascii="Times New Roman" w:eastAsia="宋体" w:hAnsi="Times New Roman" w:cs="Times New Roman"/>
          <w:sz w:val="24"/>
          <w:szCs w:val="28"/>
        </w:rPr>
        <w:t>3</w:t>
      </w:r>
      <w:r w:rsidRPr="004943E1">
        <w:rPr>
          <w:rFonts w:ascii="Times New Roman" w:eastAsia="宋体" w:hAnsi="Times New Roman" w:cs="Times New Roman"/>
          <w:sz w:val="24"/>
          <w:szCs w:val="28"/>
        </w:rPr>
        <w:t>、规划实施中，用地面积以核定面积为准，现状保留地块以实测面积为准。</w:t>
      </w:r>
    </w:p>
    <w:bookmarkEnd w:id="0"/>
    <w:p w:rsidR="00AA004B" w:rsidRPr="004943E1" w:rsidRDefault="00AA004B"/>
    <w:sectPr w:rsidR="00AA004B" w:rsidRPr="004943E1" w:rsidSect="004943E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EB9" w:rsidRDefault="00D42EB9" w:rsidP="00BF3474">
      <w:r>
        <w:separator/>
      </w:r>
    </w:p>
  </w:endnote>
  <w:endnote w:type="continuationSeparator" w:id="0">
    <w:p w:rsidR="00D42EB9" w:rsidRDefault="00D42EB9" w:rsidP="00BF3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EB9" w:rsidRDefault="00D42EB9" w:rsidP="00BF3474">
      <w:r>
        <w:separator/>
      </w:r>
    </w:p>
  </w:footnote>
  <w:footnote w:type="continuationSeparator" w:id="0">
    <w:p w:rsidR="00D42EB9" w:rsidRDefault="00D42EB9" w:rsidP="00BF3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3E1"/>
    <w:rsid w:val="004943E1"/>
    <w:rsid w:val="00AA004B"/>
    <w:rsid w:val="00BF3474"/>
    <w:rsid w:val="00D4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BF1B9"/>
  <w15:chartTrackingRefBased/>
  <w15:docId w15:val="{EA4F7AC4-AFB5-4A53-BEBD-12E08B57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34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34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34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34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2025-06-11T08:16:00Z</dcterms:created>
  <dcterms:modified xsi:type="dcterms:W3CDTF">2025-07-15T07:06:00Z</dcterms:modified>
</cp:coreProperties>
</file>