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5"/>
        </w:tabs>
        <w:spacing w:before="33"/>
        <w:ind w:left="0" w:right="136" w:firstLine="0"/>
        <w:jc w:val="center"/>
        <w:rPr>
          <w:b/>
          <w:sz w:val="32"/>
        </w:rPr>
      </w:pPr>
      <w:r>
        <w:rPr>
          <w:b/>
          <w:sz w:val="32"/>
        </w:rPr>
        <w:t>目</w:t>
      </w:r>
      <w:r>
        <w:rPr>
          <w:b/>
          <w:sz w:val="32"/>
        </w:rPr>
        <w:tab/>
      </w:r>
      <w:r>
        <w:rPr>
          <w:b/>
          <w:sz w:val="32"/>
        </w:rPr>
        <w:t>录</w:t>
      </w:r>
    </w:p>
    <w:sdt>
      <w:sdtPr>
        <w:id w:val="0"/>
        <w:docPartObj>
          <w:docPartGallery w:val="Table of Contents"/>
          <w:docPartUnique/>
        </w:docPartObj>
      </w:sdtPr>
      <w:sdtContent>
        <w:p>
          <w:pPr>
            <w:pStyle w:val="4"/>
            <w:tabs>
              <w:tab w:val="left" w:pos="1378"/>
              <w:tab w:val="right" w:leader="dot" w:pos="8898"/>
            </w:tabs>
            <w:spacing w:before="328"/>
            <w:rPr>
              <w:rFonts w:ascii="Times New Roman" w:eastAsia="Times New Roman"/>
            </w:rPr>
          </w:pPr>
          <w:r>
            <w:fldChar w:fldCharType="begin"/>
          </w:r>
          <w:r>
            <w:instrText xml:space="preserve"> HYPERLINK \l "_bookmark0" </w:instrText>
          </w:r>
          <w:r>
            <w:fldChar w:fldCharType="separate"/>
          </w:r>
          <w:r>
            <w:t>第一章</w:t>
          </w:r>
          <w:r>
            <w:tab/>
          </w:r>
          <w:r>
            <w:t>总则</w:t>
          </w:r>
          <w:r>
            <w:tab/>
          </w:r>
          <w:r>
            <w:rPr>
              <w:rFonts w:ascii="Times New Roman" w:eastAsia="Times New Roman"/>
            </w:rPr>
            <w:t>1</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 </w:instrText>
          </w:r>
          <w:r>
            <w:fldChar w:fldCharType="separate"/>
          </w:r>
          <w:r>
            <w:t>第一节</w:t>
          </w:r>
          <w:r>
            <w:rPr>
              <w:spacing w:val="-1"/>
            </w:rPr>
            <w:t xml:space="preserve"> </w:t>
          </w:r>
          <w:r>
            <w:t>适</w:t>
          </w:r>
          <w:r>
            <w:rPr>
              <w:spacing w:val="-3"/>
            </w:rPr>
            <w:t>用</w:t>
          </w:r>
          <w:r>
            <w:t>范围</w:t>
          </w:r>
          <w:r>
            <w:rPr>
              <w:spacing w:val="-3"/>
            </w:rPr>
            <w:t>与</w:t>
          </w:r>
          <w:r>
            <w:t>相关背景</w:t>
          </w:r>
          <w:r>
            <w:tab/>
          </w:r>
          <w:r>
            <w:rPr>
              <w:rFonts w:ascii="Times New Roman" w:eastAsia="Times New Roman"/>
            </w:rPr>
            <w:t>1</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"_bookmark2" </w:instrText>
          </w:r>
          <w:r>
            <w:fldChar w:fldCharType="separate"/>
          </w:r>
          <w:r>
            <w:t>第二节</w:t>
          </w:r>
          <w:r>
            <w:rPr>
              <w:spacing w:val="-1"/>
            </w:rPr>
            <w:t xml:space="preserve"> </w:t>
          </w:r>
          <w:r>
            <w:t>规</w:t>
          </w:r>
          <w:r>
            <w:rPr>
              <w:spacing w:val="-3"/>
            </w:rPr>
            <w:t>划</w:t>
          </w:r>
          <w:r>
            <w:t>依据</w:t>
          </w:r>
          <w:r>
            <w:tab/>
          </w:r>
          <w:r>
            <w:rPr>
              <w:rFonts w:ascii="Times New Roman" w:eastAsia="Times New Roman"/>
            </w:rPr>
            <w:t>2</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"_bookmark3" </w:instrText>
          </w:r>
          <w:r>
            <w:fldChar w:fldCharType="separate"/>
          </w:r>
          <w:r>
            <w:t>第三节</w:t>
          </w:r>
          <w:r>
            <w:rPr>
              <w:spacing w:val="-1"/>
            </w:rPr>
            <w:t xml:space="preserve"> </w:t>
          </w:r>
          <w:r>
            <w:t>管</w:t>
          </w:r>
          <w:r>
            <w:rPr>
              <w:spacing w:val="-3"/>
            </w:rPr>
            <w:t>理</w:t>
          </w:r>
          <w:r>
            <w:t>要求</w:t>
          </w:r>
          <w:r>
            <w:tab/>
          </w:r>
          <w:r>
            <w:rPr>
              <w:rFonts w:ascii="Times New Roman" w:eastAsia="Times New Roman"/>
            </w:rPr>
            <w:t>3</w:t>
          </w:r>
          <w:r>
            <w:rPr>
              <w:rFonts w:ascii="Times New Roman" w:eastAsia="Times New Roman"/>
            </w:rPr>
            <w:fldChar w:fldCharType="end"/>
          </w:r>
        </w:p>
        <w:p>
          <w:pPr>
            <w:pStyle w:val="4"/>
            <w:tabs>
              <w:tab w:val="right" w:leader="dot" w:pos="8898"/>
            </w:tabs>
            <w:rPr>
              <w:rFonts w:ascii="Times New Roman" w:eastAsia="Times New Roman"/>
            </w:rPr>
          </w:pPr>
          <w:r>
            <w:fldChar w:fldCharType="begin"/>
          </w:r>
          <w:r>
            <w:instrText xml:space="preserve"> HYPERLINK \l "_bookmark4" </w:instrText>
          </w:r>
          <w:r>
            <w:fldChar w:fldCharType="separate"/>
          </w:r>
          <w:r>
            <w:t>第二章 单元总体控制</w:t>
          </w:r>
          <w:r>
            <w:tab/>
          </w:r>
          <w:r>
            <w:rPr>
              <w:rFonts w:ascii="Times New Roman" w:eastAsia="Times New Roman"/>
            </w:rPr>
            <w:t>3</w:t>
          </w:r>
          <w:r>
            <w:rPr>
              <w:rFonts w:ascii="Times New Roman" w:eastAsia="Times New Roman"/>
            </w:rPr>
            <w:fldChar w:fldCharType="end"/>
          </w:r>
        </w:p>
        <w:p>
          <w:pPr>
            <w:pStyle w:val="5"/>
            <w:tabs>
              <w:tab w:val="right" w:leader="dot" w:pos="8898"/>
            </w:tabs>
            <w:spacing w:before="187"/>
            <w:rPr>
              <w:rFonts w:ascii="Times New Roman" w:eastAsia="Times New Roman"/>
            </w:rPr>
          </w:pPr>
          <w:r>
            <w:fldChar w:fldCharType="begin"/>
          </w:r>
          <w:r>
            <w:instrText xml:space="preserve"> HYPERLINK \l "_bookmark5" </w:instrText>
          </w:r>
          <w:r>
            <w:fldChar w:fldCharType="separate"/>
          </w:r>
          <w:r>
            <w:t>第一节</w:t>
          </w:r>
          <w:r>
            <w:rPr>
              <w:spacing w:val="-1"/>
            </w:rPr>
            <w:t xml:space="preserve"> </w:t>
          </w:r>
          <w:r>
            <w:t>主</w:t>
          </w:r>
          <w:r>
            <w:rPr>
              <w:spacing w:val="-3"/>
            </w:rPr>
            <w:t>导</w:t>
          </w:r>
          <w:r>
            <w:t>功能</w:t>
          </w:r>
          <w:r>
            <w:rPr>
              <w:spacing w:val="-3"/>
            </w:rPr>
            <w:t>和</w:t>
          </w:r>
          <w:r>
            <w:t>类型</w:t>
          </w:r>
          <w:r>
            <w:tab/>
          </w:r>
          <w:r>
            <w:rPr>
              <w:rFonts w:ascii="Times New Roman" w:eastAsia="Times New Roman"/>
            </w:rPr>
            <w:t>3</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"_bookmark6" </w:instrText>
          </w:r>
          <w:r>
            <w:fldChar w:fldCharType="separate"/>
          </w:r>
          <w:r>
            <w:t>第二节</w:t>
          </w:r>
          <w:r>
            <w:rPr>
              <w:spacing w:val="-1"/>
            </w:rPr>
            <w:t xml:space="preserve"> </w:t>
          </w:r>
          <w:r>
            <w:t>建</w:t>
          </w:r>
          <w:r>
            <w:rPr>
              <w:spacing w:val="-3"/>
            </w:rPr>
            <w:t>设</w:t>
          </w:r>
          <w:r>
            <w:t>规模</w:t>
          </w:r>
          <w:r>
            <w:tab/>
          </w:r>
          <w:r>
            <w:rPr>
              <w:rFonts w:ascii="Times New Roman" w:eastAsia="Times New Roman"/>
            </w:rPr>
            <w:t>3</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"_bookmark7" </w:instrText>
          </w:r>
          <w:r>
            <w:fldChar w:fldCharType="separate"/>
          </w:r>
          <w:r>
            <w:t>第三节</w:t>
          </w:r>
          <w:r>
            <w:rPr>
              <w:spacing w:val="-1"/>
            </w:rPr>
            <w:t xml:space="preserve"> </w:t>
          </w:r>
          <w:r>
            <w:t>开</w:t>
          </w:r>
          <w:r>
            <w:rPr>
              <w:spacing w:val="-3"/>
            </w:rPr>
            <w:t>发</w:t>
          </w:r>
          <w:r>
            <w:t>强度</w:t>
          </w:r>
          <w:r>
            <w:tab/>
          </w:r>
          <w:r>
            <w:rPr>
              <w:rFonts w:ascii="Times New Roman" w:eastAsia="Times New Roman"/>
            </w:rPr>
            <w:t>4</w:t>
          </w:r>
          <w:r>
            <w:rPr>
              <w:rFonts w:ascii="Times New Roman" w:eastAsia="Times New Roman"/>
            </w:rPr>
            <w:fldChar w:fldCharType="end"/>
          </w:r>
        </w:p>
        <w:p>
          <w:pPr>
            <w:pStyle w:val="4"/>
            <w:tabs>
              <w:tab w:val="right" w:leader="dot" w:pos="8898"/>
            </w:tabs>
            <w:rPr>
              <w:rFonts w:ascii="Times New Roman" w:eastAsia="Times New Roman"/>
            </w:rPr>
          </w:pPr>
          <w:r>
            <w:fldChar w:fldCharType="begin"/>
          </w:r>
          <w:r>
            <w:instrText xml:space="preserve"> HYPERLINK \l "_bookmark8" </w:instrText>
          </w:r>
          <w:r>
            <w:fldChar w:fldCharType="separate"/>
          </w:r>
          <w:r>
            <w:t>第三章</w:t>
          </w:r>
          <w:r>
            <w:rPr>
              <w:spacing w:val="-1"/>
            </w:rPr>
            <w:t xml:space="preserve"> </w:t>
          </w:r>
          <w:r>
            <w:t>绿地规划</w:t>
          </w:r>
          <w:r>
            <w:tab/>
          </w:r>
          <w:r>
            <w:rPr>
              <w:rFonts w:ascii="Times New Roman" w:eastAsia="Times New Roman"/>
            </w:rPr>
            <w:t>4</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"_bookmark9" </w:instrText>
          </w:r>
          <w:r>
            <w:fldChar w:fldCharType="separate"/>
          </w:r>
          <w:r>
            <w:t>第一节</w:t>
          </w:r>
          <w:r>
            <w:rPr>
              <w:spacing w:val="-1"/>
            </w:rPr>
            <w:t xml:space="preserve"> </w:t>
          </w:r>
          <w:r>
            <w:t>规</w:t>
          </w:r>
          <w:r>
            <w:rPr>
              <w:spacing w:val="-3"/>
            </w:rPr>
            <w:t>划</w:t>
          </w:r>
          <w:r>
            <w:t>内容</w:t>
          </w:r>
          <w:r>
            <w:tab/>
          </w:r>
          <w:r>
            <w:rPr>
              <w:rFonts w:ascii="Times New Roman" w:eastAsia="Times New Roman"/>
            </w:rPr>
            <w:t>4</w:t>
          </w:r>
          <w:r>
            <w:rPr>
              <w:rFonts w:ascii="Times New Roman" w:eastAsia="Times New Roman"/>
            </w:rPr>
            <w:fldChar w:fldCharType="end"/>
          </w:r>
        </w:p>
        <w:p>
          <w:pPr>
            <w:pStyle w:val="5"/>
            <w:tabs>
              <w:tab w:val="right" w:leader="dot" w:pos="8898"/>
            </w:tabs>
            <w:spacing w:before="184"/>
            <w:rPr>
              <w:rFonts w:ascii="Times New Roman" w:eastAsia="Times New Roman"/>
            </w:rPr>
          </w:pPr>
          <w:r>
            <w:fldChar w:fldCharType="begin"/>
          </w:r>
          <w:r>
            <w:instrText xml:space="preserve"> HYPERLINK \l "_bookmark10" </w:instrText>
          </w:r>
          <w:r>
            <w:fldChar w:fldCharType="separate"/>
          </w:r>
          <w:r>
            <w:t>第二节</w:t>
          </w:r>
          <w:r>
            <w:rPr>
              <w:spacing w:val="-1"/>
            </w:rPr>
            <w:t xml:space="preserve"> </w:t>
          </w:r>
          <w:r>
            <w:t>绿</w:t>
          </w:r>
          <w:r>
            <w:rPr>
              <w:spacing w:val="-3"/>
            </w:rPr>
            <w:t>地</w:t>
          </w:r>
          <w:r>
            <w:t>规模</w:t>
          </w:r>
          <w:r>
            <w:tab/>
          </w:r>
          <w:r>
            <w:rPr>
              <w:rFonts w:ascii="Times New Roman" w:eastAsia="Times New Roman"/>
            </w:rPr>
            <w:t>4</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"_bookmark11" </w:instrText>
          </w:r>
          <w:r>
            <w:fldChar w:fldCharType="separate"/>
          </w:r>
          <w:r>
            <w:t>第三节</w:t>
          </w:r>
          <w:r>
            <w:rPr>
              <w:spacing w:val="-1"/>
            </w:rPr>
            <w:t xml:space="preserve"> </w:t>
          </w:r>
          <w:r>
            <w:t>控</w:t>
          </w:r>
          <w:r>
            <w:rPr>
              <w:spacing w:val="-3"/>
            </w:rPr>
            <w:t>制</w:t>
          </w:r>
          <w:r>
            <w:t>要求</w:t>
          </w:r>
          <w:r>
            <w:tab/>
          </w:r>
          <w:r>
            <w:rPr>
              <w:rFonts w:ascii="Times New Roman" w:eastAsia="Times New Roman"/>
            </w:rPr>
            <w:t>4</w:t>
          </w:r>
          <w:r>
            <w:rPr>
              <w:rFonts w:ascii="Times New Roman" w:eastAsia="Times New Roman"/>
            </w:rPr>
            <w:fldChar w:fldCharType="end"/>
          </w:r>
        </w:p>
        <w:p>
          <w:pPr>
            <w:pStyle w:val="4"/>
            <w:tabs>
              <w:tab w:val="right" w:leader="dot" w:pos="8898"/>
            </w:tabs>
            <w:spacing w:before="187"/>
            <w:rPr>
              <w:rFonts w:ascii="Times New Roman" w:eastAsia="Times New Roman"/>
            </w:rPr>
          </w:pPr>
          <w:r>
            <w:fldChar w:fldCharType="begin"/>
          </w:r>
          <w:r>
            <w:instrText xml:space="preserve"> HYPERLINK \l "_bookmark12" </w:instrText>
          </w:r>
          <w:r>
            <w:fldChar w:fldCharType="separate"/>
          </w:r>
          <w:r>
            <w:t>第四章 公共设施规划</w:t>
          </w:r>
          <w:r>
            <w:tab/>
          </w:r>
          <w:r>
            <w:rPr>
              <w:rFonts w:ascii="Times New Roman" w:eastAsia="Times New Roman"/>
            </w:rPr>
            <w:t>4</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"_bookmark13" </w:instrText>
          </w:r>
          <w:r>
            <w:fldChar w:fldCharType="separate"/>
          </w:r>
          <w:r>
            <w:t>第一节</w:t>
          </w:r>
          <w:r>
            <w:rPr>
              <w:spacing w:val="-1"/>
            </w:rPr>
            <w:t xml:space="preserve"> </w:t>
          </w:r>
          <w:r>
            <w:t>规</w:t>
          </w:r>
          <w:r>
            <w:rPr>
              <w:spacing w:val="-3"/>
            </w:rPr>
            <w:t>划</w:t>
          </w:r>
          <w:r>
            <w:t>内容</w:t>
          </w:r>
          <w:r>
            <w:rPr>
              <w:spacing w:val="-3"/>
            </w:rPr>
            <w:t>和</w:t>
          </w:r>
          <w:r>
            <w:t>控制要求</w:t>
          </w:r>
          <w:r>
            <w:tab/>
          </w:r>
          <w:r>
            <w:rPr>
              <w:rFonts w:ascii="Times New Roman" w:eastAsia="Times New Roman"/>
            </w:rPr>
            <w:t>4</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"_bookmark14" </w:instrText>
          </w:r>
          <w:r>
            <w:fldChar w:fldCharType="separate"/>
          </w:r>
          <w:r>
            <w:t>第二节</w:t>
          </w:r>
          <w:r>
            <w:rPr>
              <w:spacing w:val="-1"/>
            </w:rPr>
            <w:t xml:space="preserve"> </w:t>
          </w:r>
          <w:r>
            <w:t>公</w:t>
          </w:r>
          <w:r>
            <w:rPr>
              <w:spacing w:val="-3"/>
            </w:rPr>
            <w:t>共</w:t>
          </w:r>
          <w:r>
            <w:t>服务</w:t>
          </w:r>
          <w:r>
            <w:rPr>
              <w:spacing w:val="-3"/>
            </w:rPr>
            <w:t>设</w:t>
          </w:r>
          <w:r>
            <w:t>施规划</w:t>
          </w:r>
          <w:r>
            <w:tab/>
          </w:r>
          <w:r>
            <w:rPr>
              <w:rFonts w:ascii="Times New Roman" w:eastAsia="Times New Roman"/>
            </w:rPr>
            <w:t>5</w:t>
          </w:r>
          <w:r>
            <w:rPr>
              <w:rFonts w:ascii="Times New Roman" w:eastAsia="Times New Roman"/>
            </w:rPr>
            <w:fldChar w:fldCharType="end"/>
          </w:r>
        </w:p>
        <w:p>
          <w:pPr>
            <w:pStyle w:val="4"/>
            <w:tabs>
              <w:tab w:val="right" w:leader="dot" w:pos="8898"/>
            </w:tabs>
            <w:rPr>
              <w:rFonts w:ascii="Times New Roman" w:eastAsia="Times New Roman"/>
            </w:rPr>
          </w:pPr>
          <w:r>
            <w:fldChar w:fldCharType="begin"/>
          </w:r>
          <w:r>
            <w:instrText xml:space="preserve"> HYPERLINK \l "_bookmark15" </w:instrText>
          </w:r>
          <w:r>
            <w:fldChar w:fldCharType="separate"/>
          </w:r>
          <w:r>
            <w:t>第五章</w:t>
          </w:r>
          <w:r>
            <w:rPr>
              <w:spacing w:val="-1"/>
            </w:rPr>
            <w:t xml:space="preserve"> </w:t>
          </w:r>
          <w:r>
            <w:t>交通规划</w:t>
          </w:r>
          <w:r>
            <w:tab/>
          </w:r>
          <w:r>
            <w:rPr>
              <w:rFonts w:ascii="Times New Roman" w:eastAsia="Times New Roman"/>
            </w:rPr>
            <w:t>5</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"_bookmark16" </w:instrText>
          </w:r>
          <w:r>
            <w:fldChar w:fldCharType="separate"/>
          </w:r>
          <w:r>
            <w:t>第一节</w:t>
          </w:r>
          <w:r>
            <w:rPr>
              <w:spacing w:val="-1"/>
            </w:rPr>
            <w:t xml:space="preserve"> </w:t>
          </w:r>
          <w:r>
            <w:t>道</w:t>
          </w:r>
          <w:r>
            <w:rPr>
              <w:spacing w:val="-3"/>
            </w:rPr>
            <w:t>路</w:t>
          </w:r>
          <w:r>
            <w:t>规划</w:t>
          </w:r>
          <w:r>
            <w:tab/>
          </w:r>
          <w:r>
            <w:rPr>
              <w:rFonts w:ascii="Times New Roman" w:eastAsia="Times New Roman"/>
            </w:rPr>
            <w:t>5</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"_bookmark17" </w:instrText>
          </w:r>
          <w:r>
            <w:fldChar w:fldCharType="separate"/>
          </w:r>
          <w:r>
            <w:t>第二节</w:t>
          </w:r>
          <w:r>
            <w:rPr>
              <w:spacing w:val="-1"/>
            </w:rPr>
            <w:t xml:space="preserve"> </w:t>
          </w:r>
          <w:r>
            <w:t>铁路</w:t>
          </w:r>
          <w:r>
            <w:tab/>
          </w:r>
          <w:r>
            <w:rPr>
              <w:rFonts w:ascii="Times New Roman" w:eastAsia="Times New Roman"/>
            </w:rPr>
            <w:t>6</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"_bookmark18" </w:instrText>
          </w:r>
          <w:r>
            <w:fldChar w:fldCharType="separate"/>
          </w:r>
          <w:r>
            <w:t>第三节</w:t>
          </w:r>
          <w:r>
            <w:rPr>
              <w:spacing w:val="-1"/>
            </w:rPr>
            <w:t xml:space="preserve"> </w:t>
          </w:r>
          <w:r>
            <w:t>社</w:t>
          </w:r>
          <w:r>
            <w:rPr>
              <w:spacing w:val="-3"/>
            </w:rPr>
            <w:t>会</w:t>
          </w:r>
          <w:r>
            <w:t>停车</w:t>
          </w:r>
          <w:r>
            <w:rPr>
              <w:spacing w:val="-3"/>
            </w:rPr>
            <w:t>场</w:t>
          </w:r>
          <w:r>
            <w:t>库规划</w:t>
          </w:r>
          <w:r>
            <w:tab/>
          </w:r>
          <w:r>
            <w:rPr>
              <w:rFonts w:ascii="Times New Roman" w:eastAsia="Times New Roman"/>
            </w:rPr>
            <w:t>6</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"_bookmark19" </w:instrText>
          </w:r>
          <w:r>
            <w:fldChar w:fldCharType="separate"/>
          </w:r>
          <w:r>
            <w:t>第四节</w:t>
          </w:r>
          <w:r>
            <w:rPr>
              <w:spacing w:val="-1"/>
            </w:rPr>
            <w:t xml:space="preserve"> </w:t>
          </w:r>
          <w:r>
            <w:t>交</w:t>
          </w:r>
          <w:r>
            <w:rPr>
              <w:spacing w:val="-3"/>
            </w:rPr>
            <w:t>通</w:t>
          </w:r>
          <w:r>
            <w:t>场站</w:t>
          </w:r>
          <w:r>
            <w:rPr>
              <w:spacing w:val="-3"/>
            </w:rPr>
            <w:t>设</w:t>
          </w:r>
          <w:r>
            <w:t>施规划</w:t>
          </w:r>
          <w:r>
            <w:tab/>
          </w:r>
          <w:r>
            <w:rPr>
              <w:rFonts w:ascii="Times New Roman" w:eastAsia="Times New Roman"/>
            </w:rPr>
            <w:t>6</w:t>
          </w:r>
          <w:r>
            <w:rPr>
              <w:rFonts w:ascii="Times New Roman" w:eastAsia="Times New Roman"/>
            </w:rPr>
            <w:fldChar w:fldCharType="end"/>
          </w:r>
        </w:p>
        <w:p>
          <w:pPr>
            <w:pStyle w:val="4"/>
            <w:tabs>
              <w:tab w:val="right" w:leader="dot" w:pos="8898"/>
            </w:tabs>
            <w:rPr>
              <w:rFonts w:ascii="Times New Roman" w:eastAsia="Times New Roman"/>
            </w:rPr>
          </w:pPr>
          <w:r>
            <w:fldChar w:fldCharType="begin"/>
          </w:r>
          <w:r>
            <w:instrText xml:space="preserve"> HYPERLINK \l "_bookmark20" </w:instrText>
          </w:r>
          <w:r>
            <w:fldChar w:fldCharType="separate"/>
          </w:r>
          <w:r>
            <w:t>第六章 市政工程规划</w:t>
          </w:r>
          <w:r>
            <w:tab/>
          </w:r>
          <w:r>
            <w:rPr>
              <w:rFonts w:ascii="Times New Roman" w:eastAsia="Times New Roman"/>
            </w:rPr>
            <w:t>7</w:t>
          </w:r>
          <w:r>
            <w:rPr>
              <w:rFonts w:ascii="Times New Roman" w:eastAsia="Times New Roman"/>
            </w:rPr>
            <w:fldChar w:fldCharType="end"/>
          </w:r>
        </w:p>
        <w:p>
          <w:pPr>
            <w:pStyle w:val="5"/>
            <w:tabs>
              <w:tab w:val="right" w:leader="dot" w:pos="8898"/>
            </w:tabs>
            <w:spacing w:before="187"/>
            <w:rPr>
              <w:rFonts w:ascii="Times New Roman" w:eastAsia="Times New Roman"/>
            </w:rPr>
          </w:pPr>
          <w:r>
            <w:fldChar w:fldCharType="begin"/>
          </w:r>
          <w:r>
            <w:instrText xml:space="preserve"> HYPERLINK \l "_bookmark21" </w:instrText>
          </w:r>
          <w:r>
            <w:fldChar w:fldCharType="separate"/>
          </w:r>
          <w:r>
            <w:t>第一节</w:t>
          </w:r>
          <w:r>
            <w:rPr>
              <w:spacing w:val="-1"/>
            </w:rPr>
            <w:t xml:space="preserve"> </w:t>
          </w:r>
          <w:r>
            <w:t>控</w:t>
          </w:r>
          <w:r>
            <w:rPr>
              <w:spacing w:val="-3"/>
            </w:rPr>
            <w:t>制</w:t>
          </w:r>
          <w:r>
            <w:t>内容</w:t>
          </w:r>
          <w:r>
            <w:tab/>
          </w:r>
          <w:r>
            <w:rPr>
              <w:rFonts w:ascii="Times New Roman" w:eastAsia="Times New Roman"/>
            </w:rPr>
            <w:t>7</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"_bookmark22" </w:instrText>
          </w:r>
          <w:r>
            <w:fldChar w:fldCharType="separate"/>
          </w:r>
          <w:r>
            <w:t>第二节</w:t>
          </w:r>
          <w:r>
            <w:rPr>
              <w:spacing w:val="-1"/>
            </w:rPr>
            <w:t xml:space="preserve"> </w:t>
          </w:r>
          <w:r>
            <w:t>给</w:t>
          </w:r>
          <w:r>
            <w:rPr>
              <w:spacing w:val="-3"/>
            </w:rPr>
            <w:t>水</w:t>
          </w:r>
          <w:r>
            <w:t>规划</w:t>
          </w:r>
          <w:r>
            <w:tab/>
          </w:r>
          <w:r>
            <w:rPr>
              <w:rFonts w:ascii="Times New Roman" w:eastAsia="Times New Roman"/>
            </w:rPr>
            <w:t>7</w:t>
          </w:r>
          <w:r>
            <w:rPr>
              <w:rFonts w:ascii="Times New Roman" w:eastAsia="Times New Roman"/>
            </w:rPr>
            <w:fldChar w:fldCharType="end"/>
          </w:r>
        </w:p>
        <w:p>
          <w:pPr>
            <w:pStyle w:val="5"/>
            <w:tabs>
              <w:tab w:val="right" w:leader="dot" w:pos="8898"/>
            </w:tabs>
            <w:rPr>
              <w:rFonts w:ascii="Times New Roman" w:eastAsia="Times New Roman"/>
            </w:rPr>
          </w:pPr>
          <w:r>
            <w:fldChar w:fldCharType="begin"/>
          </w:r>
          <w:r>
            <w:instrText xml:space="preserve"> HYPERLINK \l "_bookmark23" </w:instrText>
          </w:r>
          <w:r>
            <w:fldChar w:fldCharType="separate"/>
          </w:r>
          <w:r>
            <w:t>第三节</w:t>
          </w:r>
          <w:r>
            <w:rPr>
              <w:spacing w:val="-1"/>
            </w:rPr>
            <w:t xml:space="preserve"> </w:t>
          </w:r>
          <w:r>
            <w:t>排</w:t>
          </w:r>
          <w:r>
            <w:rPr>
              <w:spacing w:val="-3"/>
            </w:rPr>
            <w:t>水</w:t>
          </w:r>
          <w:r>
            <w:t>规划</w:t>
          </w:r>
          <w:r>
            <w:tab/>
          </w:r>
          <w:r>
            <w:rPr>
              <w:rFonts w:ascii="Times New Roman" w:eastAsia="Times New Roman"/>
            </w:rPr>
            <w:t>7</w:t>
          </w:r>
          <w:r>
            <w:rPr>
              <w:rFonts w:ascii="Times New Roman" w:eastAsia="Times New Roman"/>
            </w:rPr>
            <w:fldChar w:fldCharType="end"/>
          </w:r>
        </w:p>
      </w:sdtContent>
    </w:sdt>
    <w:p>
      <w:pPr>
        <w:spacing w:after="0"/>
        <w:rPr>
          <w:rFonts w:ascii="Times New Roman" w:eastAsia="Times New Roman"/>
        </w:rPr>
        <w:sectPr>
          <w:footerReference r:id="rId3" w:type="default"/>
          <w:type w:val="continuous"/>
          <w:pgSz w:w="11910" w:h="16850"/>
          <w:pgMar w:top="1300" w:right="1440" w:bottom="1180" w:left="1300" w:header="720" w:footer="993" w:gutter="0"/>
          <w:pgNumType w:start="1"/>
        </w:sectPr>
      </w:pPr>
    </w:p>
    <w:p>
      <w:pPr>
        <w:pStyle w:val="3"/>
        <w:tabs>
          <w:tab w:val="right" w:leader="dot" w:pos="8898"/>
        </w:tabs>
        <w:spacing w:before="49"/>
        <w:ind w:left="538"/>
        <w:rPr>
          <w:rFonts w:ascii="Times New Roman" w:eastAsia="Times New Roman"/>
        </w:rPr>
      </w:pPr>
      <w:r>
        <w:fldChar w:fldCharType="begin"/>
      </w:r>
      <w:r>
        <w:instrText xml:space="preserve"> HYPERLINK \l "_bookmark24" </w:instrText>
      </w:r>
      <w:r>
        <w:fldChar w:fldCharType="separate"/>
      </w:r>
      <w:r>
        <w:t>第四节</w:t>
      </w:r>
      <w:r>
        <w:rPr>
          <w:spacing w:val="-1"/>
        </w:rPr>
        <w:t xml:space="preserve"> </w:t>
      </w:r>
      <w:r>
        <w:t>电</w:t>
      </w:r>
      <w:r>
        <w:rPr>
          <w:spacing w:val="-3"/>
        </w:rPr>
        <w:t>力</w:t>
      </w:r>
      <w:r>
        <w:t>规划</w:t>
      </w:r>
      <w:r>
        <w:tab/>
      </w:r>
      <w:r>
        <w:rPr>
          <w:rFonts w:ascii="Times New Roman" w:eastAsia="Times New Roman"/>
        </w:rPr>
        <w:t>7</w:t>
      </w:r>
      <w:r>
        <w:rPr>
          <w:rFonts w:ascii="Times New Roman" w:eastAsia="Times New Roman"/>
        </w:rPr>
        <w:fldChar w:fldCharType="end"/>
      </w:r>
    </w:p>
    <w:p>
      <w:pPr>
        <w:pStyle w:val="3"/>
        <w:tabs>
          <w:tab w:val="right" w:leader="dot" w:pos="8898"/>
        </w:tabs>
        <w:spacing w:before="187"/>
        <w:ind w:left="538"/>
        <w:rPr>
          <w:rFonts w:ascii="Times New Roman" w:eastAsia="Times New Roman"/>
        </w:rPr>
      </w:pPr>
      <w:r>
        <w:fldChar w:fldCharType="begin"/>
      </w:r>
      <w:r>
        <w:instrText xml:space="preserve"> HYPERLINK \l "_bookmark25" </w:instrText>
      </w:r>
      <w:r>
        <w:fldChar w:fldCharType="separate"/>
      </w:r>
      <w:r>
        <w:t>第五节</w:t>
      </w:r>
      <w:r>
        <w:rPr>
          <w:spacing w:val="-1"/>
        </w:rPr>
        <w:t xml:space="preserve"> </w:t>
      </w:r>
      <w:r>
        <w:t>通</w:t>
      </w:r>
      <w:r>
        <w:rPr>
          <w:spacing w:val="-3"/>
        </w:rPr>
        <w:t>讯</w:t>
      </w:r>
      <w:r>
        <w:t>规划</w:t>
      </w:r>
      <w:r>
        <w:tab/>
      </w:r>
      <w:r>
        <w:rPr>
          <w:rFonts w:ascii="Times New Roman" w:eastAsia="Times New Roman"/>
        </w:rPr>
        <w:t>8</w:t>
      </w:r>
      <w:r>
        <w:rPr>
          <w:rFonts w:ascii="Times New Roman" w:eastAsia="Times New Roman"/>
        </w:rPr>
        <w:fldChar w:fldCharType="end"/>
      </w:r>
    </w:p>
    <w:p>
      <w:pPr>
        <w:pStyle w:val="3"/>
        <w:tabs>
          <w:tab w:val="right" w:leader="dot" w:pos="8898"/>
        </w:tabs>
        <w:spacing w:before="183"/>
        <w:ind w:left="538"/>
        <w:rPr>
          <w:rFonts w:ascii="Times New Roman" w:eastAsia="Times New Roman"/>
        </w:rPr>
      </w:pPr>
      <w:r>
        <w:fldChar w:fldCharType="begin"/>
      </w:r>
      <w:r>
        <w:instrText xml:space="preserve"> HYPERLINK \l "_bookmark26" </w:instrText>
      </w:r>
      <w:r>
        <w:fldChar w:fldCharType="separate"/>
      </w:r>
      <w:r>
        <w:t>第六节</w:t>
      </w:r>
      <w:r>
        <w:rPr>
          <w:spacing w:val="-1"/>
        </w:rPr>
        <w:t xml:space="preserve"> </w:t>
      </w:r>
      <w:r>
        <w:t>燃</w:t>
      </w:r>
      <w:r>
        <w:rPr>
          <w:spacing w:val="-3"/>
        </w:rPr>
        <w:t>气</w:t>
      </w:r>
      <w:r>
        <w:t>规划</w:t>
      </w:r>
      <w:r>
        <w:tab/>
      </w:r>
      <w:r>
        <w:rPr>
          <w:rFonts w:ascii="Times New Roman" w:eastAsia="Times New Roman"/>
        </w:rPr>
        <w:t>8</w:t>
      </w:r>
      <w:r>
        <w:rPr>
          <w:rFonts w:ascii="Times New Roman" w:eastAsia="Times New Roman"/>
        </w:rPr>
        <w:fldChar w:fldCharType="end"/>
      </w:r>
    </w:p>
    <w:p>
      <w:pPr>
        <w:pStyle w:val="3"/>
        <w:tabs>
          <w:tab w:val="right" w:leader="dot" w:pos="8898"/>
        </w:tabs>
        <w:ind w:left="538"/>
        <w:rPr>
          <w:rFonts w:ascii="Times New Roman" w:eastAsia="Times New Roman"/>
        </w:rPr>
      </w:pPr>
      <w:r>
        <w:fldChar w:fldCharType="begin"/>
      </w:r>
      <w:r>
        <w:instrText xml:space="preserve"> HYPERLINK \l "_bookmark27" </w:instrText>
      </w:r>
      <w:r>
        <w:fldChar w:fldCharType="separate"/>
      </w:r>
      <w:r>
        <w:t>第七节</w:t>
      </w:r>
      <w:r>
        <w:rPr>
          <w:spacing w:val="-1"/>
        </w:rPr>
        <w:t xml:space="preserve"> </w:t>
      </w:r>
      <w:r>
        <w:t>供</w:t>
      </w:r>
      <w:r>
        <w:rPr>
          <w:spacing w:val="-3"/>
        </w:rPr>
        <w:t>热</w:t>
      </w:r>
      <w:r>
        <w:t>规划</w:t>
      </w:r>
      <w:r>
        <w:tab/>
      </w:r>
      <w:r>
        <w:rPr>
          <w:rFonts w:ascii="Times New Roman" w:eastAsia="Times New Roman"/>
        </w:rPr>
        <w:t>8</w:t>
      </w:r>
      <w:r>
        <w:rPr>
          <w:rFonts w:ascii="Times New Roman" w:eastAsia="Times New Roman"/>
        </w:rPr>
        <w:fldChar w:fldCharType="end"/>
      </w:r>
    </w:p>
    <w:p>
      <w:pPr>
        <w:pStyle w:val="3"/>
        <w:tabs>
          <w:tab w:val="right" w:leader="dot" w:pos="8898"/>
        </w:tabs>
        <w:spacing w:before="187"/>
        <w:ind w:left="538"/>
        <w:rPr>
          <w:rFonts w:ascii="Times New Roman" w:eastAsia="Times New Roman"/>
        </w:rPr>
      </w:pPr>
      <w:r>
        <w:fldChar w:fldCharType="begin"/>
      </w:r>
      <w:r>
        <w:instrText xml:space="preserve"> HYPERLINK \l "_bookmark28" </w:instrText>
      </w:r>
      <w:r>
        <w:fldChar w:fldCharType="separate"/>
      </w:r>
      <w:r>
        <w:t>第八节</w:t>
      </w:r>
      <w:r>
        <w:rPr>
          <w:spacing w:val="-1"/>
        </w:rPr>
        <w:t xml:space="preserve"> </w:t>
      </w:r>
      <w:r>
        <w:t>环</w:t>
      </w:r>
      <w:r>
        <w:rPr>
          <w:spacing w:val="-3"/>
        </w:rPr>
        <w:t>卫</w:t>
      </w:r>
      <w:r>
        <w:t>工程</w:t>
      </w:r>
      <w:r>
        <w:tab/>
      </w:r>
      <w:r>
        <w:rPr>
          <w:rFonts w:ascii="Times New Roman" w:eastAsia="Times New Roman"/>
        </w:rPr>
        <w:t>8</w:t>
      </w:r>
      <w:r>
        <w:rPr>
          <w:rFonts w:ascii="Times New Roman" w:eastAsia="Times New Roman"/>
        </w:rPr>
        <w:fldChar w:fldCharType="end"/>
      </w:r>
    </w:p>
    <w:p>
      <w:pPr>
        <w:pStyle w:val="3"/>
        <w:tabs>
          <w:tab w:val="right" w:leader="dot" w:pos="8898"/>
        </w:tabs>
        <w:ind w:left="538"/>
        <w:rPr>
          <w:rFonts w:ascii="Times New Roman" w:eastAsia="Times New Roman"/>
        </w:rPr>
      </w:pPr>
      <w:r>
        <w:fldChar w:fldCharType="begin"/>
      </w:r>
      <w:r>
        <w:instrText xml:space="preserve"> HYPERLINK \l "_bookmark29" </w:instrText>
      </w:r>
      <w:r>
        <w:fldChar w:fldCharType="separate"/>
      </w:r>
      <w:r>
        <w:t>第九节</w:t>
      </w:r>
      <w:r>
        <w:rPr>
          <w:spacing w:val="-1"/>
        </w:rPr>
        <w:t xml:space="preserve"> </w:t>
      </w:r>
      <w:r>
        <w:t>消</w:t>
      </w:r>
      <w:r>
        <w:rPr>
          <w:spacing w:val="-3"/>
        </w:rPr>
        <w:t>防</w:t>
      </w:r>
      <w:r>
        <w:t>工程</w:t>
      </w:r>
      <w:r>
        <w:tab/>
      </w:r>
      <w:r>
        <w:rPr>
          <w:rFonts w:ascii="Times New Roman" w:eastAsia="Times New Roman"/>
        </w:rPr>
        <w:t>8</w:t>
      </w:r>
      <w:r>
        <w:rPr>
          <w:rFonts w:ascii="Times New Roman" w:eastAsia="Times New Roman"/>
        </w:rPr>
        <w:fldChar w:fldCharType="end"/>
      </w:r>
    </w:p>
    <w:p>
      <w:pPr>
        <w:pStyle w:val="3"/>
        <w:tabs>
          <w:tab w:val="right" w:leader="dot" w:pos="8898"/>
        </w:tabs>
        <w:ind w:left="538"/>
        <w:rPr>
          <w:rFonts w:ascii="Times New Roman" w:eastAsia="Times New Roman"/>
        </w:rPr>
      </w:pPr>
      <w:r>
        <w:fldChar w:fldCharType="begin"/>
      </w:r>
      <w:r>
        <w:instrText xml:space="preserve"> HYPERLINK \l "_bookmark30" </w:instrText>
      </w:r>
      <w:r>
        <w:fldChar w:fldCharType="separate"/>
      </w:r>
      <w:r>
        <w:t>第十节</w:t>
      </w:r>
      <w:r>
        <w:rPr>
          <w:spacing w:val="-1"/>
        </w:rPr>
        <w:t xml:space="preserve"> </w:t>
      </w:r>
      <w:r>
        <w:t>地</w:t>
      </w:r>
      <w:r>
        <w:rPr>
          <w:spacing w:val="-3"/>
        </w:rPr>
        <w:t>下</w:t>
      </w:r>
      <w:r>
        <w:t>综合</w:t>
      </w:r>
      <w:r>
        <w:rPr>
          <w:spacing w:val="-3"/>
        </w:rPr>
        <w:t>管</w:t>
      </w:r>
      <w:r>
        <w:t>廊规划</w:t>
      </w:r>
      <w:r>
        <w:rPr>
          <w:spacing w:val="-3"/>
        </w:rPr>
        <w:t>指</w:t>
      </w:r>
      <w:r>
        <w:t>引</w:t>
      </w:r>
      <w:r>
        <w:tab/>
      </w:r>
      <w:r>
        <w:rPr>
          <w:rFonts w:ascii="Times New Roman" w:eastAsia="Times New Roman"/>
        </w:rPr>
        <w:t>8</w:t>
      </w:r>
      <w:r>
        <w:rPr>
          <w:rFonts w:ascii="Times New Roman" w:eastAsia="Times New Roman"/>
        </w:rPr>
        <w:fldChar w:fldCharType="end"/>
      </w:r>
    </w:p>
    <w:p>
      <w:pPr>
        <w:pStyle w:val="3"/>
        <w:tabs>
          <w:tab w:val="right" w:leader="dot" w:pos="8898"/>
        </w:tabs>
        <w:ind w:left="538"/>
        <w:rPr>
          <w:rFonts w:ascii="Times New Roman" w:eastAsia="Times New Roman"/>
        </w:rPr>
      </w:pPr>
      <w:r>
        <w:fldChar w:fldCharType="begin"/>
      </w:r>
      <w:r>
        <w:instrText xml:space="preserve"> HYPERLINK \l "_bookmark31" </w:instrText>
      </w:r>
      <w:r>
        <w:fldChar w:fldCharType="separate"/>
      </w:r>
      <w:r>
        <w:t>第十一节</w:t>
      </w:r>
      <w:r>
        <w:rPr>
          <w:spacing w:val="-1"/>
        </w:rPr>
        <w:t xml:space="preserve"> </w:t>
      </w:r>
      <w:r>
        <w:rPr>
          <w:spacing w:val="-3"/>
        </w:rPr>
        <w:t>海</w:t>
      </w:r>
      <w:r>
        <w:t>绵城</w:t>
      </w:r>
      <w:r>
        <w:rPr>
          <w:spacing w:val="-3"/>
        </w:rPr>
        <w:t>市</w:t>
      </w:r>
      <w:r>
        <w:t>规划指引</w:t>
      </w:r>
      <w:r>
        <w:tab/>
      </w:r>
      <w:r>
        <w:rPr>
          <w:rFonts w:ascii="Times New Roman" w:eastAsia="Times New Roman"/>
        </w:rPr>
        <w:t>9</w:t>
      </w:r>
      <w:r>
        <w:rPr>
          <w:rFonts w:ascii="Times New Roman" w:eastAsia="Times New Roman"/>
        </w:rPr>
        <w:fldChar w:fldCharType="end"/>
      </w:r>
    </w:p>
    <w:p>
      <w:pPr>
        <w:pStyle w:val="2"/>
        <w:tabs>
          <w:tab w:val="right" w:leader="dot" w:pos="8898"/>
        </w:tabs>
        <w:spacing w:before="186"/>
        <w:ind w:left="118" w:right="0"/>
        <w:jc w:val="left"/>
        <w:rPr>
          <w:rFonts w:ascii="Times New Roman" w:eastAsia="Times New Roman"/>
        </w:rPr>
      </w:pPr>
      <w:r>
        <w:fldChar w:fldCharType="begin"/>
      </w:r>
      <w:r>
        <w:instrText xml:space="preserve"> HYPERLINK \l "_bookmark32" </w:instrText>
      </w:r>
      <w:r>
        <w:fldChar w:fldCharType="separate"/>
      </w:r>
      <w:r>
        <w:t>第八章 城市安全设施</w:t>
      </w:r>
      <w:r>
        <w:tab/>
      </w:r>
      <w:r>
        <w:rPr>
          <w:rFonts w:ascii="Times New Roman" w:eastAsia="Times New Roman"/>
        </w:rPr>
        <w:t>9</w:t>
      </w:r>
      <w:r>
        <w:rPr>
          <w:rFonts w:ascii="Times New Roman" w:eastAsia="Times New Roman"/>
        </w:rPr>
        <w:fldChar w:fldCharType="end"/>
      </w:r>
    </w:p>
    <w:p>
      <w:pPr>
        <w:pStyle w:val="3"/>
        <w:tabs>
          <w:tab w:val="right" w:leader="dot" w:pos="8898"/>
        </w:tabs>
        <w:ind w:left="538"/>
        <w:rPr>
          <w:rFonts w:ascii="Times New Roman" w:eastAsia="Times New Roman"/>
        </w:rPr>
      </w:pPr>
      <w:r>
        <w:fldChar w:fldCharType="begin"/>
      </w:r>
      <w:r>
        <w:instrText xml:space="preserve"> HYPERLINK \l "_bookmark33" </w:instrText>
      </w:r>
      <w:r>
        <w:fldChar w:fldCharType="separate"/>
      </w:r>
      <w:r>
        <w:t>第一节</w:t>
      </w:r>
      <w:r>
        <w:rPr>
          <w:spacing w:val="-1"/>
        </w:rPr>
        <w:t xml:space="preserve"> </w:t>
      </w:r>
      <w:r>
        <w:t>避</w:t>
      </w:r>
      <w:r>
        <w:rPr>
          <w:spacing w:val="-3"/>
        </w:rPr>
        <w:t>难</w:t>
      </w:r>
      <w:r>
        <w:t>场所</w:t>
      </w:r>
      <w:r>
        <w:tab/>
      </w:r>
      <w:r>
        <w:rPr>
          <w:rFonts w:ascii="Times New Roman" w:eastAsia="Times New Roman"/>
        </w:rPr>
        <w:t>9</w:t>
      </w:r>
      <w:r>
        <w:rPr>
          <w:rFonts w:ascii="Times New Roman" w:eastAsia="Times New Roman"/>
        </w:rPr>
        <w:fldChar w:fldCharType="end"/>
      </w:r>
    </w:p>
    <w:p>
      <w:pPr>
        <w:pStyle w:val="3"/>
        <w:tabs>
          <w:tab w:val="right" w:leader="dot" w:pos="8898"/>
        </w:tabs>
        <w:ind w:left="538"/>
        <w:rPr>
          <w:rFonts w:ascii="Times New Roman" w:eastAsia="Times New Roman"/>
        </w:rPr>
      </w:pPr>
      <w:r>
        <w:fldChar w:fldCharType="begin"/>
      </w:r>
      <w:r>
        <w:instrText xml:space="preserve"> HYPERLINK \l "_bookmark34" </w:instrText>
      </w:r>
      <w:r>
        <w:fldChar w:fldCharType="separate"/>
      </w:r>
      <w:r>
        <w:t>第二节</w:t>
      </w:r>
      <w:r>
        <w:rPr>
          <w:spacing w:val="-1"/>
        </w:rPr>
        <w:t xml:space="preserve"> </w:t>
      </w:r>
      <w:r>
        <w:t>防</w:t>
      </w:r>
      <w:r>
        <w:rPr>
          <w:spacing w:val="-3"/>
        </w:rPr>
        <w:t>洪</w:t>
      </w:r>
      <w:r>
        <w:t>和用</w:t>
      </w:r>
      <w:r>
        <w:rPr>
          <w:spacing w:val="-3"/>
        </w:rPr>
        <w:t>水</w:t>
      </w:r>
      <w:r>
        <w:t>安全</w:t>
      </w:r>
      <w:r>
        <w:tab/>
      </w:r>
      <w:r>
        <w:rPr>
          <w:rFonts w:ascii="Times New Roman" w:eastAsia="Times New Roman"/>
        </w:rPr>
        <w:t>9</w:t>
      </w:r>
      <w:r>
        <w:rPr>
          <w:rFonts w:ascii="Times New Roman" w:eastAsia="Times New Roman"/>
        </w:rPr>
        <w:fldChar w:fldCharType="end"/>
      </w:r>
    </w:p>
    <w:p>
      <w:pPr>
        <w:spacing w:after="0"/>
        <w:rPr>
          <w:rFonts w:ascii="Times New Roman" w:eastAsia="Times New Roman"/>
        </w:rPr>
        <w:sectPr>
          <w:pgSz w:w="11910" w:h="16850"/>
          <w:pgMar w:top="1040" w:right="1440" w:bottom="1180" w:left="1300" w:header="0" w:footer="993" w:gutter="0"/>
        </w:sectPr>
      </w:pPr>
    </w:p>
    <w:p>
      <w:pPr>
        <w:pStyle w:val="2"/>
        <w:spacing w:before="49"/>
        <w:ind w:right="139"/>
      </w:pPr>
      <w:bookmarkStart w:id="0" w:name="_bookmark0"/>
      <w:bookmarkEnd w:id="0"/>
      <w:r>
        <w:t>第一章 总则</w:t>
      </w:r>
    </w:p>
    <w:p>
      <w:pPr>
        <w:pStyle w:val="3"/>
        <w:spacing w:before="0"/>
        <w:ind w:left="0"/>
        <w:rPr>
          <w:b/>
        </w:rPr>
      </w:pPr>
    </w:p>
    <w:p>
      <w:pPr>
        <w:pStyle w:val="3"/>
        <w:spacing w:before="11"/>
        <w:ind w:left="0"/>
        <w:rPr>
          <w:b/>
          <w:sz w:val="26"/>
        </w:rPr>
      </w:pPr>
    </w:p>
    <w:p>
      <w:pPr>
        <w:pStyle w:val="2"/>
        <w:ind w:left="2754" w:right="0"/>
        <w:jc w:val="left"/>
      </w:pPr>
      <w:bookmarkStart w:id="1" w:name="_bookmark1"/>
      <w:bookmarkEnd w:id="1"/>
      <w:r>
        <w:t>第一节 适用范围与相关背景</w:t>
      </w:r>
    </w:p>
    <w:p>
      <w:pPr>
        <w:pStyle w:val="3"/>
        <w:spacing w:line="364" w:lineRule="auto"/>
        <w:ind w:right="256" w:firstLine="566"/>
        <w:jc w:val="both"/>
      </w:pPr>
      <w:r>
        <w:t>武清新城小营单元位于武清新城西南部。东至京福支线，南、西至现状水沟，北至京山铁路，总占地面积 78.12 公顷。</w:t>
      </w:r>
    </w:p>
    <w:p>
      <w:pPr>
        <w:pStyle w:val="3"/>
        <w:spacing w:before="0" w:line="364" w:lineRule="auto"/>
        <w:ind w:right="255" w:firstLine="566"/>
        <w:jc w:val="both"/>
      </w:pPr>
      <w:r>
        <w:rPr>
          <w:spacing w:val="-9"/>
        </w:rPr>
        <w:t xml:space="preserve">《天津市武清小营单元控制性详细规划》于 </w:t>
      </w:r>
      <w:r>
        <w:t>2016</w:t>
      </w:r>
      <w:r>
        <w:rPr>
          <w:spacing w:val="-44"/>
        </w:rPr>
        <w:t xml:space="preserve"> 年 </w:t>
      </w:r>
      <w:r>
        <w:t>4</w:t>
      </w:r>
      <w:r>
        <w:rPr>
          <w:spacing w:val="-12"/>
        </w:rPr>
        <w:t xml:space="preserve"> 月经天津市武</w:t>
      </w:r>
      <w:r>
        <w:rPr>
          <w:spacing w:val="-7"/>
        </w:rPr>
        <w:t>清区人民政府批复。</w:t>
      </w:r>
    </w:p>
    <w:p>
      <w:pPr>
        <w:pStyle w:val="3"/>
        <w:spacing w:before="0" w:line="364" w:lineRule="auto"/>
        <w:ind w:right="353" w:firstLine="566"/>
        <w:jc w:val="both"/>
      </w:pPr>
      <w:r>
        <w:rPr>
          <w:spacing w:val="-8"/>
        </w:rPr>
        <w:t xml:space="preserve">本次调整由武清区规划局于 </w:t>
      </w:r>
      <w:r>
        <w:t>2017</w:t>
      </w:r>
      <w:r>
        <w:rPr>
          <w:spacing w:val="-44"/>
        </w:rPr>
        <w:t xml:space="preserve"> 年 </w:t>
      </w:r>
      <w:r>
        <w:t>10</w:t>
      </w:r>
      <w:r>
        <w:rPr>
          <w:spacing w:val="-10"/>
        </w:rPr>
        <w:t xml:space="preserve"> 月向区政府提出《武清区规</w:t>
      </w:r>
      <w:r>
        <w:rPr>
          <w:spacing w:val="-6"/>
        </w:rPr>
        <w:t>划局关于对&lt;武清新城小营单元控制性详细规划&gt;调整所需经费的请示》</w:t>
      </w:r>
    </w:p>
    <w:p>
      <w:pPr>
        <w:pStyle w:val="3"/>
        <w:spacing w:before="0" w:line="364" w:lineRule="auto"/>
        <w:ind w:right="252"/>
      </w:pPr>
      <w:r>
        <w:rPr>
          <w:w w:val="100"/>
        </w:rPr>
        <w:t>（</w:t>
      </w:r>
      <w:r>
        <w:rPr>
          <w:spacing w:val="-2"/>
          <w:w w:val="100"/>
        </w:rPr>
        <w:t>津武规划[2</w:t>
      </w:r>
      <w:r>
        <w:rPr>
          <w:w w:val="100"/>
        </w:rPr>
        <w:t>0</w:t>
      </w:r>
      <w:r>
        <w:rPr>
          <w:spacing w:val="-1"/>
          <w:w w:val="100"/>
        </w:rPr>
        <w:t>1</w:t>
      </w:r>
      <w:r>
        <w:rPr>
          <w:spacing w:val="-2"/>
          <w:w w:val="100"/>
        </w:rPr>
        <w:t>7</w:t>
      </w:r>
      <w:r>
        <w:rPr>
          <w:spacing w:val="1"/>
          <w:w w:val="100"/>
        </w:rPr>
        <w:t>]</w:t>
      </w:r>
      <w:r>
        <w:rPr>
          <w:spacing w:val="-1"/>
          <w:w w:val="100"/>
        </w:rPr>
        <w:t>1</w:t>
      </w:r>
      <w:r>
        <w:rPr>
          <w:spacing w:val="1"/>
          <w:w w:val="100"/>
        </w:rPr>
        <w:t>2</w:t>
      </w:r>
      <w:r>
        <w:rPr>
          <w:w w:val="100"/>
        </w:rPr>
        <w:t>0</w:t>
      </w:r>
      <w:r>
        <w:rPr>
          <w:spacing w:val="-70"/>
        </w:rPr>
        <w:t xml:space="preserve"> </w:t>
      </w:r>
      <w:r>
        <w:rPr>
          <w:spacing w:val="-3"/>
          <w:w w:val="100"/>
        </w:rPr>
        <w:t>号</w:t>
      </w:r>
      <w:r>
        <w:rPr>
          <w:spacing w:val="-142"/>
          <w:w w:val="100"/>
        </w:rPr>
        <w:t>）</w:t>
      </w:r>
      <w:r>
        <w:rPr>
          <w:spacing w:val="-18"/>
          <w:w w:val="100"/>
        </w:rPr>
        <w:t>：“……区政府协调会专项研究杨村七街回民墓</w:t>
      </w:r>
      <w:r>
        <w:rPr>
          <w:spacing w:val="-8"/>
        </w:rPr>
        <w:t>地相关事宜，要求抓紧推动回民墓地选址工作。经核查，回民墓地选址</w:t>
      </w:r>
      <w:r>
        <w:rPr>
          <w:spacing w:val="-5"/>
        </w:rPr>
        <w:t>位于武清新城小营单元西侧。为了便于尽快启动回民墓地规划手续的办</w:t>
      </w:r>
      <w:r>
        <w:rPr>
          <w:spacing w:val="-4"/>
        </w:rPr>
        <w:t>理，我局建议将其纳入小营单元规划范围内，并尽快启动该单元规划调</w:t>
      </w:r>
      <w:r>
        <w:rPr>
          <w:spacing w:val="-33"/>
          <w:w w:val="100"/>
        </w:rPr>
        <w:t>整及审批工作……”。</w:t>
      </w:r>
    </w:p>
    <w:p>
      <w:pPr>
        <w:pStyle w:val="3"/>
        <w:spacing w:before="0" w:line="357" w:lineRule="exact"/>
        <w:ind w:left="685"/>
      </w:pPr>
      <w:r>
        <w:t>2011</w:t>
      </w:r>
      <w:r>
        <w:rPr>
          <w:spacing w:val="-43"/>
        </w:rPr>
        <w:t xml:space="preserve"> 年 </w:t>
      </w:r>
      <w:r>
        <w:t>10</w:t>
      </w:r>
      <w:r>
        <w:rPr>
          <w:spacing w:val="-43"/>
        </w:rPr>
        <w:t xml:space="preserve"> 月 </w:t>
      </w:r>
      <w:r>
        <w:t>25</w:t>
      </w:r>
      <w:r>
        <w:rPr>
          <w:spacing w:val="-10"/>
        </w:rPr>
        <w:t xml:space="preserve"> 日，武清区人民政府区长办公会议纪要</w:t>
      </w:r>
      <w:r>
        <w:t>（[2011]第</w:t>
      </w:r>
    </w:p>
    <w:p>
      <w:pPr>
        <w:pStyle w:val="3"/>
        <w:spacing w:before="184" w:line="364" w:lineRule="auto"/>
        <w:ind w:right="119"/>
        <w:jc w:val="both"/>
      </w:pPr>
      <w:r>
        <w:rPr>
          <w:spacing w:val="-2"/>
          <w:w w:val="100"/>
        </w:rPr>
        <w:t>2</w:t>
      </w:r>
      <w:r>
        <w:rPr>
          <w:w w:val="100"/>
        </w:rPr>
        <w:t>4</w:t>
      </w:r>
      <w:r>
        <w:t xml:space="preserve"> </w:t>
      </w:r>
      <w:r>
        <w:rPr>
          <w:spacing w:val="-3"/>
          <w:w w:val="100"/>
        </w:rPr>
        <w:t>次</w:t>
      </w:r>
      <w:r>
        <w:rPr>
          <w:spacing w:val="-140"/>
          <w:w w:val="100"/>
        </w:rPr>
        <w:t>）</w:t>
      </w:r>
      <w:r>
        <w:rPr>
          <w:spacing w:val="-14"/>
          <w:w w:val="100"/>
        </w:rPr>
        <w:t>：“……会议研究讨论武清区第二殡仪服务中心和回民公墓选址问</w:t>
      </w:r>
      <w:r>
        <w:rPr>
          <w:spacing w:val="-26"/>
          <w:w w:val="100"/>
        </w:rPr>
        <w:t>题，会议议定：</w:t>
      </w:r>
      <w:r>
        <w:rPr>
          <w:w w:val="100"/>
        </w:rPr>
        <w:t>（</w:t>
      </w:r>
      <w:r>
        <w:rPr>
          <w:spacing w:val="-2"/>
          <w:w w:val="100"/>
        </w:rPr>
        <w:t>一</w:t>
      </w:r>
      <w:r>
        <w:rPr>
          <w:spacing w:val="-5"/>
          <w:w w:val="100"/>
        </w:rPr>
        <w:t>）综合考虑区位、交通、便民等因素，同意将规划建</w:t>
      </w:r>
      <w:r>
        <w:rPr>
          <w:spacing w:val="15"/>
        </w:rPr>
        <w:t>议的武清区第二殡仪服务中心和回民公墓选址于黄庄街小营村村址。</w:t>
      </w:r>
    </w:p>
    <w:p>
      <w:pPr>
        <w:pStyle w:val="3"/>
        <w:spacing w:before="0" w:line="364" w:lineRule="auto"/>
        <w:ind w:right="265"/>
      </w:pPr>
      <w:r>
        <w:t>（二）民政部门要待小营村拆迁结束后，适时启动第二殡仪服务中心和</w:t>
      </w:r>
      <w:r>
        <w:rPr>
          <w:w w:val="100"/>
        </w:rPr>
        <w:t>回民公墓建设……”。</w:t>
      </w:r>
    </w:p>
    <w:p>
      <w:pPr>
        <w:pStyle w:val="3"/>
        <w:spacing w:before="0" w:line="364" w:lineRule="auto"/>
        <w:ind w:right="255" w:firstLine="566"/>
        <w:jc w:val="both"/>
      </w:pPr>
      <w:r>
        <w:rPr>
          <w:w w:val="100"/>
        </w:rPr>
        <w:t>2</w:t>
      </w:r>
      <w:r>
        <w:rPr>
          <w:spacing w:val="-2"/>
          <w:w w:val="100"/>
        </w:rPr>
        <w:t>0</w:t>
      </w:r>
      <w:r>
        <w:rPr>
          <w:spacing w:val="-1"/>
          <w:w w:val="100"/>
        </w:rPr>
        <w:t>1</w:t>
      </w:r>
      <w:r>
        <w:rPr>
          <w:w w:val="100"/>
        </w:rPr>
        <w:t>7</w:t>
      </w:r>
      <w:r>
        <w:rPr>
          <w:spacing w:val="-62"/>
        </w:rPr>
        <w:t xml:space="preserve"> </w:t>
      </w:r>
      <w:r>
        <w:rPr>
          <w:w w:val="100"/>
        </w:rPr>
        <w:t>年</w:t>
      </w:r>
      <w:r>
        <w:rPr>
          <w:spacing w:val="-66"/>
        </w:rPr>
        <w:t xml:space="preserve"> </w:t>
      </w:r>
      <w:r>
        <w:rPr>
          <w:w w:val="100"/>
        </w:rPr>
        <w:t>3</w:t>
      </w:r>
      <w:r>
        <w:rPr>
          <w:spacing w:val="-65"/>
        </w:rPr>
        <w:t xml:space="preserve"> </w:t>
      </w:r>
      <w:r>
        <w:rPr>
          <w:w w:val="100"/>
        </w:rPr>
        <w:t>月</w:t>
      </w:r>
      <w:r>
        <w:rPr>
          <w:spacing w:val="-66"/>
        </w:rPr>
        <w:t xml:space="preserve"> </w:t>
      </w:r>
      <w:r>
        <w:rPr>
          <w:spacing w:val="-2"/>
          <w:w w:val="100"/>
        </w:rPr>
        <w:t>1</w:t>
      </w:r>
      <w:r>
        <w:rPr>
          <w:w w:val="100"/>
        </w:rPr>
        <w:t>6</w:t>
      </w:r>
      <w:r>
        <w:rPr>
          <w:spacing w:val="-62"/>
        </w:rPr>
        <w:t xml:space="preserve"> </w:t>
      </w:r>
      <w:r>
        <w:rPr>
          <w:spacing w:val="-12"/>
          <w:w w:val="100"/>
        </w:rPr>
        <w:t>日，武清区人民政府会议纪要：“……三、区政府抓</w:t>
      </w:r>
      <w:r>
        <w:rPr>
          <w:spacing w:val="-9"/>
        </w:rPr>
        <w:t>紧研究确定新建回民墓地选址、规划及建设等具体安排，杨村街及时将</w:t>
      </w:r>
      <w:r>
        <w:rPr>
          <w:spacing w:val="-11"/>
          <w:w w:val="100"/>
        </w:rPr>
        <w:t>区政府研究确定的相关情况明确告知广大群众，确保稳定……”。</w:t>
      </w:r>
    </w:p>
    <w:p>
      <w:pPr>
        <w:pStyle w:val="3"/>
        <w:spacing w:before="0" w:line="364" w:lineRule="auto"/>
        <w:ind w:right="252" w:firstLine="566"/>
        <w:jc w:val="both"/>
      </w:pPr>
      <w:r>
        <w:t>2017</w:t>
      </w:r>
      <w:r>
        <w:rPr>
          <w:spacing w:val="-42"/>
        </w:rPr>
        <w:t xml:space="preserve"> 年 </w:t>
      </w:r>
      <w:r>
        <w:t>10</w:t>
      </w:r>
      <w:r>
        <w:rPr>
          <w:spacing w:val="-41"/>
        </w:rPr>
        <w:t xml:space="preserve"> 月 </w:t>
      </w:r>
      <w:r>
        <w:t>31</w:t>
      </w:r>
      <w:r>
        <w:rPr>
          <w:spacing w:val="-10"/>
        </w:rPr>
        <w:t xml:space="preserve"> 日，武清区政府批复了武清区规划局提交的《武清</w:t>
      </w:r>
      <w:r>
        <w:rPr>
          <w:spacing w:val="-7"/>
        </w:rPr>
        <w:t>区规划局关于对&lt;武清新城小营单元控制性详细规划&gt;调整所需经费的请</w:t>
      </w:r>
    </w:p>
    <w:p>
      <w:pPr>
        <w:spacing w:after="0" w:line="364" w:lineRule="auto"/>
        <w:jc w:val="both"/>
        <w:sectPr>
          <w:footerReference r:id="rId4" w:type="default"/>
          <w:pgSz w:w="11910" w:h="16850"/>
          <w:pgMar w:top="1280" w:right="1440" w:bottom="1180" w:left="1300" w:header="0" w:footer="993" w:gutter="0"/>
          <w:pgNumType w:start="1"/>
        </w:sectPr>
      </w:pPr>
    </w:p>
    <w:p>
      <w:pPr>
        <w:pStyle w:val="3"/>
        <w:spacing w:before="49"/>
      </w:pPr>
      <w:r>
        <w:t>示》。</w:t>
      </w:r>
    </w:p>
    <w:p>
      <w:pPr>
        <w:pStyle w:val="3"/>
        <w:spacing w:before="187" w:line="364" w:lineRule="auto"/>
        <w:ind w:right="255" w:firstLine="566"/>
        <w:jc w:val="both"/>
      </w:pPr>
      <w:r>
        <w:rPr>
          <w:w w:val="100"/>
        </w:rPr>
        <w:t>2</w:t>
      </w:r>
      <w:r>
        <w:rPr>
          <w:spacing w:val="-2"/>
          <w:w w:val="100"/>
        </w:rPr>
        <w:t>0</w:t>
      </w:r>
      <w:r>
        <w:rPr>
          <w:spacing w:val="-1"/>
          <w:w w:val="100"/>
        </w:rPr>
        <w:t>1</w:t>
      </w:r>
      <w:r>
        <w:rPr>
          <w:w w:val="100"/>
        </w:rPr>
        <w:t>8</w:t>
      </w:r>
      <w:r>
        <w:rPr>
          <w:spacing w:val="-62"/>
        </w:rPr>
        <w:t xml:space="preserve"> </w:t>
      </w:r>
      <w:r>
        <w:rPr>
          <w:w w:val="100"/>
        </w:rPr>
        <w:t>年</w:t>
      </w:r>
      <w:r>
        <w:rPr>
          <w:spacing w:val="-66"/>
        </w:rPr>
        <w:t xml:space="preserve"> </w:t>
      </w:r>
      <w:r>
        <w:rPr>
          <w:w w:val="100"/>
        </w:rPr>
        <w:t>6</w:t>
      </w:r>
      <w:r>
        <w:rPr>
          <w:spacing w:val="-65"/>
        </w:rPr>
        <w:t xml:space="preserve"> </w:t>
      </w:r>
      <w:r>
        <w:rPr>
          <w:w w:val="100"/>
        </w:rPr>
        <w:t>月</w:t>
      </w:r>
      <w:r>
        <w:rPr>
          <w:spacing w:val="-66"/>
        </w:rPr>
        <w:t xml:space="preserve"> </w:t>
      </w:r>
      <w:r>
        <w:rPr>
          <w:spacing w:val="-2"/>
          <w:w w:val="100"/>
        </w:rPr>
        <w:t>2</w:t>
      </w:r>
      <w:r>
        <w:rPr>
          <w:w w:val="100"/>
        </w:rPr>
        <w:t>6</w:t>
      </w:r>
      <w:r>
        <w:rPr>
          <w:spacing w:val="-62"/>
        </w:rPr>
        <w:t xml:space="preserve"> </w:t>
      </w:r>
      <w:r>
        <w:rPr>
          <w:spacing w:val="-12"/>
          <w:w w:val="100"/>
        </w:rPr>
        <w:t>日，武清区人民政府会议纪要：“……一、关于回民</w:t>
      </w:r>
      <w:r>
        <w:rPr>
          <w:spacing w:val="-8"/>
        </w:rPr>
        <w:t>墓地迁移工作……区民政局作为总协调，区规划局、国土局落实回民墓</w:t>
      </w:r>
      <w:r>
        <w:rPr>
          <w:spacing w:val="-20"/>
          <w:w w:val="100"/>
        </w:rPr>
        <w:t>地规划选址……”。</w:t>
      </w:r>
    </w:p>
    <w:p>
      <w:pPr>
        <w:pStyle w:val="3"/>
        <w:spacing w:before="0" w:line="364" w:lineRule="auto"/>
        <w:ind w:right="250" w:firstLine="566"/>
        <w:jc w:val="both"/>
      </w:pPr>
      <w:r>
        <w:rPr>
          <w:w w:val="100"/>
        </w:rPr>
        <w:t>2</w:t>
      </w:r>
      <w:r>
        <w:rPr>
          <w:spacing w:val="-2"/>
          <w:w w:val="100"/>
        </w:rPr>
        <w:t>0</w:t>
      </w:r>
      <w:r>
        <w:rPr>
          <w:spacing w:val="-1"/>
          <w:w w:val="100"/>
        </w:rPr>
        <w:t>1</w:t>
      </w:r>
      <w:r>
        <w:rPr>
          <w:w w:val="100"/>
        </w:rPr>
        <w:t>8</w:t>
      </w:r>
      <w:r>
        <w:rPr>
          <w:spacing w:val="-62"/>
        </w:rPr>
        <w:t xml:space="preserve"> </w:t>
      </w:r>
      <w:r>
        <w:rPr>
          <w:w w:val="100"/>
        </w:rPr>
        <w:t>年</w:t>
      </w:r>
      <w:r>
        <w:rPr>
          <w:spacing w:val="-66"/>
        </w:rPr>
        <w:t xml:space="preserve"> </w:t>
      </w:r>
      <w:r>
        <w:rPr>
          <w:w w:val="100"/>
        </w:rPr>
        <w:t>9</w:t>
      </w:r>
      <w:r>
        <w:rPr>
          <w:spacing w:val="-65"/>
        </w:rPr>
        <w:t xml:space="preserve"> </w:t>
      </w:r>
      <w:r>
        <w:rPr>
          <w:w w:val="100"/>
        </w:rPr>
        <w:t>月</w:t>
      </w:r>
      <w:r>
        <w:rPr>
          <w:spacing w:val="-66"/>
        </w:rPr>
        <w:t xml:space="preserve"> </w:t>
      </w:r>
      <w:r>
        <w:rPr>
          <w:spacing w:val="-2"/>
          <w:w w:val="100"/>
        </w:rPr>
        <w:t>2</w:t>
      </w:r>
      <w:r>
        <w:rPr>
          <w:w w:val="100"/>
        </w:rPr>
        <w:t>0</w:t>
      </w:r>
      <w:r>
        <w:rPr>
          <w:spacing w:val="-62"/>
        </w:rPr>
        <w:t xml:space="preserve"> </w:t>
      </w:r>
      <w:r>
        <w:rPr>
          <w:spacing w:val="-12"/>
          <w:w w:val="100"/>
        </w:rPr>
        <w:t>日，武清区人民政府常务会议纪要：“……会议听取</w:t>
      </w:r>
      <w:r>
        <w:rPr>
          <w:spacing w:val="-8"/>
        </w:rPr>
        <w:t>了区规划局所作的汇报，按照区政府工作安排，区规划局就回民墓地选</w:t>
      </w:r>
      <w:r>
        <w:rPr>
          <w:spacing w:val="-7"/>
        </w:rPr>
        <w:t xml:space="preserve">址工作进行了认真研究，拟确定选址龙凤河故道以西、原小营村村址， </w:t>
      </w:r>
      <w:r>
        <w:rPr>
          <w:spacing w:val="-13"/>
        </w:rPr>
        <w:t xml:space="preserve">一期可用地面积 </w:t>
      </w:r>
      <w:r>
        <w:t>47</w:t>
      </w:r>
      <w:r>
        <w:rPr>
          <w:spacing w:val="-11"/>
        </w:rPr>
        <w:t xml:space="preserve"> 亩，现状为特殊用地。会议原则同意该选址方案…… </w:t>
      </w:r>
      <w:r>
        <w:rPr>
          <w:spacing w:val="-31"/>
        </w:rPr>
        <w:t>尽快启动项目建设”。</w:t>
      </w:r>
    </w:p>
    <w:p>
      <w:pPr>
        <w:pStyle w:val="3"/>
        <w:spacing w:before="0" w:line="364" w:lineRule="auto"/>
        <w:ind w:right="118" w:firstLine="566"/>
        <w:jc w:val="both"/>
      </w:pPr>
      <w:r>
        <w:t>本次调整共涉及三个方面内容：依据本次申请将回民公墓用地纳入本单元规划范围，并由此扩大了单元的规划范围、为保证回民公墓的可达性及通行能力增加了一条规划支路，并在回民公墓内增设一处公共停车场，满足回民公墓所需；依据已批相关规划对所涉及地块的调整，包括核定地界、权属地界和生态红线保护规划等；根据相关标准与要求对</w:t>
      </w:r>
      <w:r>
        <w:rPr>
          <w:spacing w:val="-7"/>
        </w:rPr>
        <w:t>本单元用地分类进行整体更新、对整个单元的配套设施进行核查与完善。</w:t>
      </w:r>
    </w:p>
    <w:p>
      <w:pPr>
        <w:pStyle w:val="3"/>
        <w:spacing w:before="0" w:line="364" w:lineRule="auto"/>
        <w:ind w:right="250" w:firstLine="566"/>
        <w:jc w:val="both"/>
      </w:pPr>
      <w:r>
        <w:t>依据已批生态红线保护规划对本单元所涉及的地块进行核查，由于规划铁路线位的调整而涉及生态用地保护红线的调整。</w:t>
      </w:r>
    </w:p>
    <w:p>
      <w:pPr>
        <w:pStyle w:val="3"/>
        <w:spacing w:before="0" w:line="364" w:lineRule="auto"/>
        <w:ind w:right="255" w:firstLine="566"/>
        <w:jc w:val="both"/>
      </w:pPr>
      <w:r>
        <w:rPr>
          <w:spacing w:val="-5"/>
        </w:rPr>
        <w:t>按照《城市用地分类与规划建设用地标准</w:t>
      </w:r>
      <w:r>
        <w:rPr>
          <w:spacing w:val="-154"/>
        </w:rPr>
        <w:t>》</w:t>
      </w:r>
      <w:r>
        <w:rPr>
          <w:spacing w:val="-1"/>
        </w:rPr>
        <w:t>（GB50137-2011）</w:t>
      </w:r>
      <w:r>
        <w:rPr>
          <w:spacing w:val="-2"/>
        </w:rPr>
        <w:t>对本单</w:t>
      </w:r>
      <w:r>
        <w:rPr>
          <w:spacing w:val="-3"/>
        </w:rPr>
        <w:t>元用地分类进行整体更新。</w:t>
      </w:r>
    </w:p>
    <w:p>
      <w:pPr>
        <w:pStyle w:val="2"/>
        <w:spacing w:before="145"/>
      </w:pPr>
      <w:bookmarkStart w:id="2" w:name="_bookmark2"/>
      <w:bookmarkEnd w:id="2"/>
      <w:r>
        <w:t>第二节 规划依据</w:t>
      </w:r>
    </w:p>
    <w:p>
      <w:pPr>
        <w:pStyle w:val="3"/>
        <w:spacing w:before="187"/>
        <w:ind w:left="685"/>
      </w:pPr>
      <w:r>
        <w:t>一、规范与标准</w:t>
      </w:r>
    </w:p>
    <w:p>
      <w:pPr>
        <w:pStyle w:val="3"/>
        <w:spacing w:before="9"/>
        <w:ind w:left="0"/>
        <w:rPr>
          <w:sz w:val="9"/>
        </w:rPr>
      </w:pPr>
    </w:p>
    <w:p>
      <w:pPr>
        <w:pStyle w:val="3"/>
        <w:spacing w:before="62"/>
        <w:ind w:left="685"/>
      </w:pPr>
      <w:r>
        <w:t>《中华人民共和国城乡规划法》（2008.1.1）</w:t>
      </w:r>
    </w:p>
    <w:p>
      <w:pPr>
        <w:pStyle w:val="3"/>
        <w:ind w:left="685"/>
      </w:pPr>
      <w:r>
        <w:t>《城市用地分类与规划建设用地标准》（GBJ50137-2011）</w:t>
      </w:r>
    </w:p>
    <w:p>
      <w:pPr>
        <w:pStyle w:val="3"/>
        <w:ind w:left="678"/>
      </w:pPr>
      <w:r>
        <w:t>《天津市蓄滞洪区管理条例》（2010.9.25）</w:t>
      </w:r>
    </w:p>
    <w:p>
      <w:pPr>
        <w:pStyle w:val="3"/>
        <w:spacing w:before="183"/>
        <w:ind w:left="678"/>
      </w:pPr>
      <w:r>
        <w:t>《天津市河道管理条例》（2012.5.9）</w:t>
      </w:r>
    </w:p>
    <w:p>
      <w:pPr>
        <w:spacing w:after="0"/>
        <w:sectPr>
          <w:pgSz w:w="11910" w:h="16850"/>
          <w:pgMar w:top="1040" w:right="1440" w:bottom="1180" w:left="1300" w:header="0" w:footer="993" w:gutter="0"/>
        </w:sectPr>
      </w:pPr>
    </w:p>
    <w:p>
      <w:pPr>
        <w:pStyle w:val="3"/>
        <w:spacing w:before="49"/>
        <w:ind w:left="685"/>
      </w:pPr>
      <w:r>
        <w:t>《天津市绿化条例》（2014.3.1）</w:t>
      </w:r>
    </w:p>
    <w:p>
      <w:pPr>
        <w:pStyle w:val="3"/>
        <w:spacing w:before="187"/>
        <w:ind w:left="685"/>
      </w:pPr>
      <w:r>
        <w:t>《天津市综合管廊工程技术规范》（DB/T29-235-2016）</w:t>
      </w:r>
    </w:p>
    <w:p>
      <w:pPr>
        <w:pStyle w:val="3"/>
        <w:spacing w:before="183"/>
        <w:ind w:left="685"/>
      </w:pPr>
      <w:r>
        <w:t>《天津市建设项目配建停车场（库）标准》（DB/T29-6-2018）</w:t>
      </w:r>
    </w:p>
    <w:p>
      <w:pPr>
        <w:pStyle w:val="3"/>
        <w:ind w:left="685"/>
      </w:pPr>
      <w:r>
        <w:t>《汽车加油加气站设计与施工规范》（GB 50156-2012）</w:t>
      </w:r>
    </w:p>
    <w:p>
      <w:pPr>
        <w:pStyle w:val="3"/>
        <w:spacing w:before="187" w:line="364" w:lineRule="auto"/>
        <w:ind w:left="685" w:right="2735"/>
      </w:pPr>
      <w:r>
        <w:rPr>
          <w:spacing w:val="-13"/>
        </w:rPr>
        <w:t>《天津市海绵城市建设技术导则》</w:t>
      </w:r>
      <w:r>
        <w:t xml:space="preserve">（2016.6.1） </w:t>
      </w:r>
      <w:r>
        <w:rPr>
          <w:spacing w:val="-3"/>
        </w:rPr>
        <w:t>国家与天津市其他有关法律、规定及技术标准二、相关规划</w:t>
      </w:r>
    </w:p>
    <w:p>
      <w:pPr>
        <w:pStyle w:val="3"/>
        <w:spacing w:before="0" w:line="357" w:lineRule="exact"/>
        <w:ind w:left="685"/>
      </w:pPr>
      <w:r>
        <w:t>《天津市武清新城总体规划》（2008-2020 年）</w:t>
      </w:r>
    </w:p>
    <w:p>
      <w:pPr>
        <w:pStyle w:val="3"/>
        <w:ind w:left="685"/>
      </w:pPr>
      <w:r>
        <w:t>《天津市武清区城乡总体规划修编》（2015-2030 年）</w:t>
      </w:r>
    </w:p>
    <w:p>
      <w:pPr>
        <w:pStyle w:val="3"/>
        <w:ind w:left="685"/>
      </w:pPr>
      <w:r>
        <w:t>《天津市武清小营单元控制性详细规划》（2016 年）</w:t>
      </w:r>
    </w:p>
    <w:p>
      <w:pPr>
        <w:pStyle w:val="3"/>
        <w:ind w:left="685"/>
      </w:pPr>
      <w:r>
        <w:t>《武清海绵城市专项规划》（2016-2030 年）</w:t>
      </w:r>
    </w:p>
    <w:p>
      <w:pPr>
        <w:pStyle w:val="3"/>
        <w:spacing w:before="9"/>
        <w:ind w:left="0"/>
        <w:rPr>
          <w:sz w:val="26"/>
        </w:rPr>
      </w:pPr>
    </w:p>
    <w:p>
      <w:pPr>
        <w:pStyle w:val="2"/>
      </w:pPr>
      <w:bookmarkStart w:id="3" w:name="_bookmark3"/>
      <w:bookmarkEnd w:id="3"/>
      <w:r>
        <w:t>第三节 管理要求</w:t>
      </w:r>
    </w:p>
    <w:p>
      <w:pPr>
        <w:pStyle w:val="3"/>
        <w:spacing w:line="364" w:lineRule="auto"/>
        <w:ind w:right="257" w:firstLine="482"/>
      </w:pPr>
      <w:r>
        <w:rPr>
          <w:spacing w:val="-11"/>
        </w:rPr>
        <w:t>一、本控规单元用地范围内的土地利用和各类开发建设活动必须遵守</w:t>
      </w:r>
      <w:r>
        <w:t>本规划。</w:t>
      </w:r>
    </w:p>
    <w:p>
      <w:pPr>
        <w:pStyle w:val="3"/>
        <w:spacing w:before="0" w:line="364" w:lineRule="auto"/>
        <w:ind w:left="601" w:right="443"/>
      </w:pPr>
      <w:r>
        <w:rPr>
          <w:spacing w:val="-3"/>
        </w:rPr>
        <w:t xml:space="preserve">二、本规划文本和图则具有同等法律效力，两者不可分割使用。 </w:t>
      </w:r>
      <w:r>
        <w:rPr>
          <w:spacing w:val="-4"/>
        </w:rPr>
        <w:t>三、本规划如确需修改，须按规定履行控制性详细规划修改程序。</w:t>
      </w:r>
    </w:p>
    <w:p>
      <w:pPr>
        <w:pStyle w:val="2"/>
        <w:spacing w:before="239"/>
        <w:ind w:right="139"/>
      </w:pPr>
      <w:bookmarkStart w:id="4" w:name="_bookmark4"/>
      <w:bookmarkEnd w:id="4"/>
      <w:r>
        <w:t>第二章 单元总体控制</w:t>
      </w:r>
    </w:p>
    <w:p>
      <w:pPr>
        <w:pStyle w:val="3"/>
        <w:spacing w:before="8"/>
        <w:ind w:left="0"/>
        <w:rPr>
          <w:b/>
          <w:sz w:val="26"/>
        </w:rPr>
      </w:pPr>
    </w:p>
    <w:p>
      <w:pPr>
        <w:pStyle w:val="2"/>
        <w:spacing w:before="1"/>
        <w:ind w:left="3037" w:right="0"/>
        <w:jc w:val="left"/>
      </w:pPr>
      <w:bookmarkStart w:id="5" w:name="_bookmark5"/>
      <w:bookmarkEnd w:id="5"/>
      <w:r>
        <w:t>第一节 主导功能和类型</w:t>
      </w:r>
    </w:p>
    <w:p>
      <w:pPr>
        <w:pStyle w:val="3"/>
        <w:spacing w:line="364" w:lineRule="auto"/>
        <w:ind w:right="259" w:firstLine="566"/>
        <w:jc w:val="both"/>
      </w:pPr>
      <w:r>
        <w:t>本项目区以公共管理与公共服务设施用地、商业服务业设施用地、公用设施用地为主导功能。规划重点为确保公共安全和营造环境品质， 主导类型属于提升改造区类型。</w:t>
      </w:r>
    </w:p>
    <w:p>
      <w:pPr>
        <w:pStyle w:val="2"/>
        <w:spacing w:before="155"/>
      </w:pPr>
      <w:bookmarkStart w:id="6" w:name="_bookmark6"/>
      <w:bookmarkEnd w:id="6"/>
      <w:r>
        <w:t>第二节 建设规模</w:t>
      </w:r>
    </w:p>
    <w:p>
      <w:pPr>
        <w:pStyle w:val="3"/>
        <w:ind w:left="675"/>
      </w:pPr>
      <w:r>
        <w:rPr>
          <w:spacing w:val="-9"/>
        </w:rPr>
        <w:t xml:space="preserve">一、本控规单元建设用地控制在 </w:t>
      </w:r>
      <w:r>
        <w:t>35.7</w:t>
      </w:r>
      <w:r>
        <w:rPr>
          <w:spacing w:val="-10"/>
        </w:rPr>
        <w:t xml:space="preserve"> 公顷以内，其中公共管理与公</w:t>
      </w:r>
    </w:p>
    <w:p>
      <w:pPr>
        <w:pStyle w:val="3"/>
        <w:ind w:left="0" w:right="136"/>
        <w:jc w:val="center"/>
      </w:pPr>
      <w:r>
        <w:rPr>
          <w:spacing w:val="-7"/>
        </w:rPr>
        <w:t xml:space="preserve">共服务设施用地面积为 </w:t>
      </w:r>
      <w:r>
        <w:t>2.43</w:t>
      </w:r>
      <w:r>
        <w:rPr>
          <w:spacing w:val="-10"/>
        </w:rPr>
        <w:t xml:space="preserve"> 公顷，商业服务业设施用地面积为 </w:t>
      </w:r>
      <w:r>
        <w:t>5.18</w:t>
      </w:r>
      <w:r>
        <w:rPr>
          <w:spacing w:val="-19"/>
        </w:rPr>
        <w:t xml:space="preserve"> 公</w:t>
      </w:r>
    </w:p>
    <w:p>
      <w:pPr>
        <w:spacing w:after="0"/>
        <w:jc w:val="center"/>
        <w:sectPr>
          <w:pgSz w:w="11910" w:h="16850"/>
          <w:pgMar w:top="1040" w:right="1440" w:bottom="1180" w:left="1300" w:header="0" w:footer="993" w:gutter="0"/>
        </w:sectPr>
      </w:pPr>
    </w:p>
    <w:p>
      <w:pPr>
        <w:pStyle w:val="3"/>
        <w:spacing w:before="49"/>
      </w:pPr>
      <w:r>
        <w:t>顷，公用设施用地面积为 14.44 公顷。</w:t>
      </w:r>
    </w:p>
    <w:p>
      <w:pPr>
        <w:pStyle w:val="3"/>
        <w:spacing w:before="187" w:line="362" w:lineRule="auto"/>
        <w:ind w:left="685" w:right="3438"/>
      </w:pPr>
      <w:r>
        <w:rPr>
          <w:spacing w:val="-10"/>
        </w:rPr>
        <w:t xml:space="preserve">二、建筑总量控制在 </w:t>
      </w:r>
      <w:r>
        <w:t>4.7</w:t>
      </w:r>
      <w:r>
        <w:rPr>
          <w:spacing w:val="-12"/>
        </w:rPr>
        <w:t xml:space="preserve"> 万平方米以内。</w:t>
      </w:r>
      <w:r>
        <w:rPr>
          <w:spacing w:val="-3"/>
        </w:rPr>
        <w:t>三、控规单元内无居住人口。</w:t>
      </w:r>
    </w:p>
    <w:p>
      <w:pPr>
        <w:pStyle w:val="2"/>
        <w:spacing w:before="160"/>
      </w:pPr>
      <w:bookmarkStart w:id="7" w:name="_bookmark7"/>
      <w:bookmarkEnd w:id="7"/>
      <w:r>
        <w:t>第三节 开发强度</w:t>
      </w:r>
    </w:p>
    <w:p>
      <w:pPr>
        <w:pStyle w:val="3"/>
        <w:ind w:left="678"/>
      </w:pPr>
      <w:r>
        <w:t>一、新建各类用地开发强度按相关规定执行。</w:t>
      </w:r>
    </w:p>
    <w:p>
      <w:pPr>
        <w:pStyle w:val="3"/>
        <w:ind w:left="678"/>
      </w:pPr>
      <w:r>
        <w:t>二、土地使用性质分类执行《城市用地分类与规划建设用地标准》</w:t>
      </w:r>
    </w:p>
    <w:p>
      <w:pPr>
        <w:pStyle w:val="3"/>
      </w:pPr>
      <w:r>
        <w:t>（GB50137-2011）的规定。</w:t>
      </w:r>
    </w:p>
    <w:p>
      <w:pPr>
        <w:pStyle w:val="2"/>
        <w:spacing w:before="85" w:line="700" w:lineRule="atLeast"/>
        <w:ind w:left="3460" w:right="3597"/>
      </w:pPr>
      <w:bookmarkStart w:id="8" w:name="_bookmark8"/>
      <w:bookmarkEnd w:id="8"/>
      <w:r>
        <w:t>第三章 绿地规划</w:t>
      </w:r>
      <w:bookmarkStart w:id="9" w:name="_bookmark9"/>
      <w:bookmarkEnd w:id="9"/>
      <w:r>
        <w:t>第一节 规划内容</w:t>
      </w:r>
    </w:p>
    <w:p>
      <w:pPr>
        <w:pStyle w:val="3"/>
        <w:spacing w:before="187"/>
        <w:ind w:left="678"/>
      </w:pPr>
      <w:r>
        <w:t>本控规单元绿地为防护绿地。</w:t>
      </w:r>
    </w:p>
    <w:p>
      <w:pPr>
        <w:pStyle w:val="3"/>
        <w:spacing w:before="9"/>
        <w:ind w:left="0"/>
        <w:rPr>
          <w:sz w:val="26"/>
        </w:rPr>
      </w:pPr>
    </w:p>
    <w:p>
      <w:pPr>
        <w:pStyle w:val="2"/>
      </w:pPr>
      <w:bookmarkStart w:id="10" w:name="_bookmark10"/>
      <w:bookmarkEnd w:id="10"/>
      <w:r>
        <w:t>第二节 绿地规模</w:t>
      </w:r>
    </w:p>
    <w:p>
      <w:pPr>
        <w:pStyle w:val="3"/>
        <w:ind w:left="678"/>
      </w:pPr>
      <w:r>
        <w:t>规划防护绿地，用地面积不小于 6.54 公顷。</w:t>
      </w:r>
    </w:p>
    <w:p>
      <w:pPr>
        <w:pStyle w:val="3"/>
        <w:spacing w:before="9"/>
        <w:ind w:left="0"/>
        <w:rPr>
          <w:sz w:val="26"/>
        </w:rPr>
      </w:pPr>
    </w:p>
    <w:p>
      <w:pPr>
        <w:pStyle w:val="2"/>
      </w:pPr>
      <w:bookmarkStart w:id="11" w:name="_bookmark11"/>
      <w:bookmarkEnd w:id="11"/>
      <w:r>
        <w:t>第三节 控制要求</w:t>
      </w:r>
    </w:p>
    <w:p>
      <w:pPr>
        <w:pStyle w:val="3"/>
        <w:spacing w:line="364" w:lineRule="auto"/>
        <w:ind w:right="253" w:firstLine="566"/>
      </w:pPr>
      <w:r>
        <w:t>一、合理布局绿地，其数量和规模作为刚性指标，在编制下位规划和实施建设过程中落实。</w:t>
      </w:r>
    </w:p>
    <w:p>
      <w:pPr>
        <w:pStyle w:val="3"/>
        <w:spacing w:before="0" w:line="358" w:lineRule="exact"/>
        <w:ind w:left="685"/>
      </w:pPr>
      <w:r>
        <w:t>二、绿地的控制执行《天津市绿化条例》等相关规定执行。</w:t>
      </w:r>
    </w:p>
    <w:p>
      <w:pPr>
        <w:pStyle w:val="2"/>
        <w:spacing w:before="85" w:line="700" w:lineRule="atLeast"/>
        <w:ind w:left="2754" w:right="2894" w:firstLine="422"/>
        <w:jc w:val="left"/>
      </w:pPr>
      <w:bookmarkStart w:id="12" w:name="_bookmark12"/>
      <w:bookmarkEnd w:id="12"/>
      <w:r>
        <w:t>第四章  公共设施规划</w:t>
      </w:r>
      <w:bookmarkStart w:id="13" w:name="_bookmark13"/>
      <w:bookmarkEnd w:id="13"/>
      <w:r>
        <w:t>第一节 规划内容和控制要求</w:t>
      </w:r>
    </w:p>
    <w:p>
      <w:pPr>
        <w:pStyle w:val="3"/>
        <w:spacing w:before="188"/>
        <w:ind w:left="678"/>
      </w:pPr>
      <w:r>
        <w:t>一、公共设施包括公共管理与公共服务设施和商业服务业设施。</w:t>
      </w:r>
    </w:p>
    <w:p>
      <w:pPr>
        <w:pStyle w:val="3"/>
        <w:spacing w:line="364" w:lineRule="auto"/>
        <w:ind w:right="65" w:firstLine="559"/>
      </w:pPr>
      <w:r>
        <w:t>二、公共管理与公共服务设施主要包括行政办公、文化、教育科研、体育、医疗卫生、社会福利、文物古迹、外事、宗教九类设施。</w:t>
      </w:r>
    </w:p>
    <w:p>
      <w:pPr>
        <w:pStyle w:val="3"/>
        <w:spacing w:before="0" w:line="364" w:lineRule="auto"/>
        <w:ind w:right="262" w:firstLine="559"/>
      </w:pPr>
      <w:r>
        <w:t>三、商业服务业设施主要包括商业、商务、娱乐康体、公用设施营业网点、其他服务设施五类设施。</w:t>
      </w:r>
    </w:p>
    <w:p>
      <w:pPr>
        <w:spacing w:after="0" w:line="364" w:lineRule="auto"/>
        <w:sectPr>
          <w:pgSz w:w="11910" w:h="16850"/>
          <w:pgMar w:top="1040" w:right="1440" w:bottom="1180" w:left="1300" w:header="0" w:footer="993" w:gutter="0"/>
        </w:sectPr>
      </w:pPr>
    </w:p>
    <w:p>
      <w:pPr>
        <w:pStyle w:val="3"/>
        <w:spacing w:before="49" w:line="364" w:lineRule="auto"/>
        <w:ind w:right="257" w:firstLine="566"/>
      </w:pPr>
      <w:r>
        <w:t>四、公共设施数量、规模等按照相关技术标准、规范及已批专项规划执行。</w:t>
      </w:r>
    </w:p>
    <w:p>
      <w:pPr>
        <w:pStyle w:val="2"/>
        <w:spacing w:before="153"/>
        <w:ind w:right="138"/>
      </w:pPr>
      <w:bookmarkStart w:id="14" w:name="_bookmark14"/>
      <w:bookmarkEnd w:id="14"/>
      <w:r>
        <w:t>第二节 公共服务设施规划</w:t>
      </w:r>
    </w:p>
    <w:p>
      <w:pPr>
        <w:pStyle w:val="3"/>
        <w:ind w:left="685"/>
      </w:pPr>
      <w:r>
        <w:t>本项目区公共设施主要有：行政办公和宗教设施。</w:t>
      </w:r>
    </w:p>
    <w:p>
      <w:pPr>
        <w:pStyle w:val="3"/>
        <w:spacing w:before="3"/>
        <w:ind w:left="0"/>
        <w:rPr>
          <w:sz w:val="33"/>
        </w:rPr>
      </w:pPr>
    </w:p>
    <w:p>
      <w:pPr>
        <w:pStyle w:val="2"/>
        <w:spacing w:before="1"/>
      </w:pPr>
      <w:bookmarkStart w:id="15" w:name="_bookmark15"/>
      <w:bookmarkEnd w:id="15"/>
      <w:r>
        <w:rPr>
          <w:spacing w:val="-1"/>
        </w:rPr>
        <w:t>第五章 交通规划</w:t>
      </w:r>
    </w:p>
    <w:p>
      <w:pPr>
        <w:pStyle w:val="3"/>
        <w:spacing w:before="11"/>
        <w:ind w:left="0"/>
        <w:rPr>
          <w:b/>
          <w:sz w:val="21"/>
        </w:rPr>
      </w:pPr>
    </w:p>
    <w:p>
      <w:pPr>
        <w:pStyle w:val="2"/>
        <w:spacing w:before="62"/>
      </w:pPr>
      <w:bookmarkStart w:id="16" w:name="_bookmark16"/>
      <w:bookmarkEnd w:id="16"/>
      <w:r>
        <w:rPr>
          <w:spacing w:val="-1"/>
        </w:rPr>
        <w:t>第一节 道路规划</w:t>
      </w:r>
    </w:p>
    <w:p>
      <w:pPr>
        <w:pStyle w:val="3"/>
        <w:ind w:left="685"/>
      </w:pPr>
      <w:r>
        <w:t>一、道路</w:t>
      </w:r>
    </w:p>
    <w:p>
      <w:pPr>
        <w:pStyle w:val="3"/>
        <w:spacing w:before="9"/>
        <w:ind w:left="0"/>
        <w:rPr>
          <w:sz w:val="9"/>
        </w:rPr>
      </w:pPr>
    </w:p>
    <w:p>
      <w:pPr>
        <w:pStyle w:val="3"/>
        <w:spacing w:before="62" w:line="364" w:lineRule="auto"/>
        <w:ind w:left="3253" w:right="636" w:hanging="2569"/>
      </w:pPr>
      <w:r>
        <w:rPr>
          <w:spacing w:val="-8"/>
        </w:rPr>
        <w:t xml:space="preserve">本单元内规划涉及道路有主干路 </w:t>
      </w:r>
      <w:r>
        <w:t>1</w:t>
      </w:r>
      <w:r>
        <w:rPr>
          <w:spacing w:val="-21"/>
        </w:rPr>
        <w:t xml:space="preserve"> 条、次干路 </w:t>
      </w:r>
      <w:r>
        <w:t>1</w:t>
      </w:r>
      <w:r>
        <w:rPr>
          <w:spacing w:val="-25"/>
        </w:rPr>
        <w:t xml:space="preserve"> 条、支路 </w:t>
      </w:r>
      <w:r>
        <w:t>4</w:t>
      </w:r>
      <w:r>
        <w:rPr>
          <w:spacing w:val="-23"/>
        </w:rPr>
        <w:t xml:space="preserve"> 条。</w:t>
      </w:r>
      <w:r>
        <w:rPr>
          <w:spacing w:val="-10"/>
        </w:rPr>
        <w:t>规划道路情况一览表</w:t>
      </w:r>
    </w:p>
    <w:tbl>
      <w:tblPr>
        <w:tblStyle w:val="6"/>
        <w:tblW w:w="8199"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0"/>
        <w:gridCol w:w="1121"/>
        <w:gridCol w:w="1418"/>
        <w:gridCol w:w="4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1560" w:type="dxa"/>
            <w:tcBorders>
              <w:right w:val="single" w:color="000000" w:sz="4" w:space="0"/>
            </w:tcBorders>
          </w:tcPr>
          <w:p>
            <w:pPr>
              <w:pStyle w:val="10"/>
              <w:ind w:left="340" w:right="331"/>
              <w:rPr>
                <w:sz w:val="21"/>
              </w:rPr>
            </w:pPr>
            <w:r>
              <w:rPr>
                <w:sz w:val="21"/>
              </w:rPr>
              <w:t>道路名称</w:t>
            </w:r>
          </w:p>
        </w:tc>
        <w:tc>
          <w:tcPr>
            <w:tcW w:w="1121" w:type="dxa"/>
            <w:tcBorders>
              <w:left w:val="single" w:color="000000" w:sz="4" w:space="0"/>
            </w:tcBorders>
          </w:tcPr>
          <w:p>
            <w:pPr>
              <w:pStyle w:val="10"/>
              <w:ind w:left="119" w:right="113"/>
              <w:rPr>
                <w:sz w:val="21"/>
              </w:rPr>
            </w:pPr>
            <w:r>
              <w:rPr>
                <w:sz w:val="21"/>
              </w:rPr>
              <w:t>道路等级</w:t>
            </w:r>
          </w:p>
        </w:tc>
        <w:tc>
          <w:tcPr>
            <w:tcW w:w="1418" w:type="dxa"/>
          </w:tcPr>
          <w:p>
            <w:pPr>
              <w:pStyle w:val="10"/>
              <w:ind w:left="9" w:right="104"/>
              <w:rPr>
                <w:sz w:val="21"/>
              </w:rPr>
            </w:pPr>
            <w:r>
              <w:rPr>
                <w:sz w:val="21"/>
              </w:rPr>
              <w:t>红线宽度（米</w:t>
            </w:r>
          </w:p>
        </w:tc>
        <w:tc>
          <w:tcPr>
            <w:tcW w:w="4100" w:type="dxa"/>
          </w:tcPr>
          <w:p>
            <w:pPr>
              <w:pStyle w:val="10"/>
              <w:tabs>
                <w:tab w:val="left" w:pos="1208"/>
              </w:tabs>
              <w:ind w:left="-132"/>
              <w:jc w:val="left"/>
              <w:rPr>
                <w:sz w:val="21"/>
              </w:rPr>
            </w:pPr>
            <w:r>
              <w:rPr>
                <w:sz w:val="21"/>
              </w:rPr>
              <w:t>）</w:t>
            </w:r>
            <w:r>
              <w:rPr>
                <w:sz w:val="21"/>
              </w:rPr>
              <w:tab/>
            </w:r>
            <w:r>
              <w:rPr>
                <w:spacing w:val="-2"/>
                <w:sz w:val="21"/>
              </w:rPr>
              <w:t>道路横断面</w:t>
            </w:r>
            <w:r>
              <w:rPr>
                <w:sz w:val="21"/>
              </w:rPr>
              <w:t>（</w:t>
            </w:r>
            <w:r>
              <w:rPr>
                <w:spacing w:val="-3"/>
                <w:sz w:val="21"/>
              </w:rPr>
              <w:t>米</w:t>
            </w:r>
            <w:r>
              <w:rPr>
                <w:sz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8" w:hRule="atLeast"/>
        </w:trPr>
        <w:tc>
          <w:tcPr>
            <w:tcW w:w="1560" w:type="dxa"/>
            <w:tcBorders>
              <w:right w:val="single" w:color="000000" w:sz="4" w:space="0"/>
            </w:tcBorders>
          </w:tcPr>
          <w:p>
            <w:pPr>
              <w:pStyle w:val="10"/>
              <w:spacing w:before="5"/>
              <w:jc w:val="left"/>
              <w:rPr>
                <w:sz w:val="21"/>
              </w:rPr>
            </w:pPr>
          </w:p>
          <w:p>
            <w:pPr>
              <w:pStyle w:val="10"/>
              <w:spacing w:before="0"/>
              <w:ind w:left="340" w:right="331"/>
              <w:rPr>
                <w:sz w:val="21"/>
              </w:rPr>
            </w:pPr>
            <w:r>
              <w:rPr>
                <w:sz w:val="21"/>
              </w:rPr>
              <w:t>京福支线</w:t>
            </w:r>
          </w:p>
        </w:tc>
        <w:tc>
          <w:tcPr>
            <w:tcW w:w="1121" w:type="dxa"/>
            <w:tcBorders>
              <w:left w:val="single" w:color="000000" w:sz="4" w:space="0"/>
            </w:tcBorders>
          </w:tcPr>
          <w:p>
            <w:pPr>
              <w:pStyle w:val="10"/>
              <w:spacing w:before="5"/>
              <w:jc w:val="left"/>
              <w:rPr>
                <w:sz w:val="21"/>
              </w:rPr>
            </w:pPr>
          </w:p>
          <w:p>
            <w:pPr>
              <w:pStyle w:val="10"/>
              <w:spacing w:before="0"/>
              <w:ind w:left="117" w:right="113"/>
              <w:rPr>
                <w:sz w:val="21"/>
              </w:rPr>
            </w:pPr>
            <w:r>
              <w:rPr>
                <w:sz w:val="21"/>
              </w:rPr>
              <w:t>主干路</w:t>
            </w:r>
          </w:p>
        </w:tc>
        <w:tc>
          <w:tcPr>
            <w:tcW w:w="1418" w:type="dxa"/>
          </w:tcPr>
          <w:p>
            <w:pPr>
              <w:pStyle w:val="10"/>
              <w:spacing w:before="5"/>
              <w:jc w:val="left"/>
              <w:rPr>
                <w:sz w:val="21"/>
              </w:rPr>
            </w:pPr>
          </w:p>
          <w:p>
            <w:pPr>
              <w:pStyle w:val="10"/>
              <w:spacing w:before="0"/>
              <w:ind w:left="9" w:right="6"/>
              <w:rPr>
                <w:sz w:val="21"/>
              </w:rPr>
            </w:pPr>
            <w:r>
              <w:rPr>
                <w:sz w:val="21"/>
              </w:rPr>
              <w:t>80</w:t>
            </w:r>
          </w:p>
        </w:tc>
        <w:tc>
          <w:tcPr>
            <w:tcW w:w="4100" w:type="dxa"/>
          </w:tcPr>
          <w:p>
            <w:pPr>
              <w:pStyle w:val="10"/>
              <w:spacing w:before="3"/>
              <w:ind w:left="29" w:right="26"/>
              <w:rPr>
                <w:sz w:val="21"/>
              </w:rPr>
            </w:pPr>
            <w:r>
              <w:rPr>
                <w:spacing w:val="-1"/>
                <w:sz w:val="21"/>
              </w:rPr>
              <w:t>18（</w:t>
            </w:r>
            <w:r>
              <w:rPr>
                <w:spacing w:val="-3"/>
                <w:sz w:val="21"/>
              </w:rPr>
              <w:t>人行道及绿化带</w:t>
            </w:r>
            <w:r>
              <w:rPr>
                <w:sz w:val="21"/>
              </w:rPr>
              <w:t>）-3.5（</w:t>
            </w:r>
            <w:r>
              <w:rPr>
                <w:spacing w:val="-3"/>
                <w:sz w:val="21"/>
              </w:rPr>
              <w:t>非机动车道</w:t>
            </w:r>
            <w:r>
              <w:rPr>
                <w:sz w:val="21"/>
              </w:rPr>
              <w:t>）</w:t>
            </w:r>
          </w:p>
          <w:p>
            <w:pPr>
              <w:pStyle w:val="10"/>
              <w:spacing w:before="2"/>
              <w:ind w:left="32" w:right="26"/>
              <w:rPr>
                <w:sz w:val="21"/>
              </w:rPr>
            </w:pPr>
            <w:r>
              <w:rPr>
                <w:spacing w:val="-1"/>
                <w:sz w:val="21"/>
              </w:rPr>
              <w:t>-0.5</w:t>
            </w:r>
            <w:r>
              <w:rPr>
                <w:spacing w:val="-4"/>
                <w:sz w:val="21"/>
              </w:rPr>
              <w:t>(机非分隔墩)-15.5（</w:t>
            </w:r>
            <w:r>
              <w:rPr>
                <w:spacing w:val="-1"/>
                <w:sz w:val="21"/>
              </w:rPr>
              <w:t>车行道</w:t>
            </w:r>
            <w:r>
              <w:rPr>
                <w:spacing w:val="-10"/>
                <w:sz w:val="21"/>
              </w:rPr>
              <w:t>）-5（</w:t>
            </w:r>
            <w:r>
              <w:rPr>
                <w:sz w:val="21"/>
              </w:rPr>
              <w:t>中央</w:t>
            </w:r>
          </w:p>
          <w:p>
            <w:pPr>
              <w:pStyle w:val="10"/>
              <w:spacing w:before="5" w:line="250" w:lineRule="exact"/>
              <w:ind w:left="32" w:right="26"/>
              <w:rPr>
                <w:sz w:val="21"/>
              </w:rPr>
            </w:pPr>
            <w:r>
              <w:rPr>
                <w:sz w:val="21"/>
              </w:rPr>
              <w:t>分隔带）-15.5-0.5-3-18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1560" w:type="dxa"/>
            <w:tcBorders>
              <w:right w:val="single" w:color="000000" w:sz="4" w:space="0"/>
            </w:tcBorders>
          </w:tcPr>
          <w:p>
            <w:pPr>
              <w:pStyle w:val="10"/>
              <w:ind w:left="338" w:right="331"/>
              <w:rPr>
                <w:sz w:val="21"/>
              </w:rPr>
            </w:pPr>
            <w:r>
              <w:rPr>
                <w:sz w:val="21"/>
              </w:rPr>
              <w:t>小营路</w:t>
            </w:r>
          </w:p>
        </w:tc>
        <w:tc>
          <w:tcPr>
            <w:tcW w:w="1121" w:type="dxa"/>
            <w:tcBorders>
              <w:left w:val="single" w:color="000000" w:sz="4" w:space="0"/>
            </w:tcBorders>
          </w:tcPr>
          <w:p>
            <w:pPr>
              <w:pStyle w:val="10"/>
              <w:ind w:left="117" w:right="113"/>
              <w:rPr>
                <w:sz w:val="21"/>
              </w:rPr>
            </w:pPr>
            <w:r>
              <w:rPr>
                <w:sz w:val="21"/>
              </w:rPr>
              <w:t>次干路</w:t>
            </w:r>
          </w:p>
        </w:tc>
        <w:tc>
          <w:tcPr>
            <w:tcW w:w="1418" w:type="dxa"/>
          </w:tcPr>
          <w:p>
            <w:pPr>
              <w:pStyle w:val="10"/>
              <w:ind w:left="9" w:right="6"/>
              <w:rPr>
                <w:sz w:val="21"/>
              </w:rPr>
            </w:pPr>
            <w:r>
              <w:rPr>
                <w:sz w:val="21"/>
              </w:rPr>
              <w:t>24</w:t>
            </w:r>
          </w:p>
        </w:tc>
        <w:tc>
          <w:tcPr>
            <w:tcW w:w="4100" w:type="dxa"/>
          </w:tcPr>
          <w:p>
            <w:pPr>
              <w:pStyle w:val="10"/>
              <w:ind w:left="685"/>
              <w:jc w:val="left"/>
              <w:rPr>
                <w:sz w:val="21"/>
              </w:rPr>
            </w:pPr>
            <w:r>
              <w:rPr>
                <w:sz w:val="21"/>
              </w:rPr>
              <w:t>2.5(人行道)-19(车行道)-2.5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1560" w:type="dxa"/>
            <w:tcBorders>
              <w:right w:val="single" w:color="000000" w:sz="4" w:space="0"/>
            </w:tcBorders>
          </w:tcPr>
          <w:p>
            <w:pPr>
              <w:pStyle w:val="10"/>
              <w:spacing w:before="167"/>
              <w:ind w:left="340" w:right="331"/>
              <w:rPr>
                <w:sz w:val="21"/>
              </w:rPr>
            </w:pPr>
            <w:r>
              <w:rPr>
                <w:sz w:val="21"/>
              </w:rPr>
              <w:t>京山南路</w:t>
            </w:r>
          </w:p>
        </w:tc>
        <w:tc>
          <w:tcPr>
            <w:tcW w:w="1121" w:type="dxa"/>
            <w:tcBorders>
              <w:left w:val="single" w:color="000000" w:sz="4" w:space="0"/>
            </w:tcBorders>
          </w:tcPr>
          <w:p>
            <w:pPr>
              <w:pStyle w:val="10"/>
              <w:spacing w:before="167"/>
              <w:ind w:left="117" w:right="113"/>
              <w:rPr>
                <w:sz w:val="21"/>
              </w:rPr>
            </w:pPr>
            <w:r>
              <w:rPr>
                <w:sz w:val="21"/>
              </w:rPr>
              <w:t>支路</w:t>
            </w:r>
          </w:p>
        </w:tc>
        <w:tc>
          <w:tcPr>
            <w:tcW w:w="1418" w:type="dxa"/>
          </w:tcPr>
          <w:p>
            <w:pPr>
              <w:pStyle w:val="10"/>
              <w:spacing w:before="167"/>
              <w:ind w:left="9" w:right="6"/>
              <w:rPr>
                <w:sz w:val="21"/>
              </w:rPr>
            </w:pPr>
            <w:r>
              <w:rPr>
                <w:sz w:val="21"/>
              </w:rPr>
              <w:t>24</w:t>
            </w:r>
          </w:p>
        </w:tc>
        <w:tc>
          <w:tcPr>
            <w:tcW w:w="4100" w:type="dxa"/>
          </w:tcPr>
          <w:p>
            <w:pPr>
              <w:pStyle w:val="10"/>
              <w:spacing w:before="167"/>
              <w:ind w:left="685"/>
              <w:jc w:val="left"/>
              <w:rPr>
                <w:sz w:val="21"/>
              </w:rPr>
            </w:pPr>
            <w:r>
              <w:rPr>
                <w:sz w:val="21"/>
              </w:rPr>
              <w:t>2.5(人行道)-19(车行道)-2.5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1560" w:type="dxa"/>
            <w:tcBorders>
              <w:right w:val="single" w:color="000000" w:sz="4" w:space="0"/>
            </w:tcBorders>
          </w:tcPr>
          <w:p>
            <w:pPr>
              <w:pStyle w:val="10"/>
              <w:ind w:left="338" w:right="331"/>
              <w:rPr>
                <w:sz w:val="21"/>
              </w:rPr>
            </w:pPr>
            <w:r>
              <w:rPr>
                <w:sz w:val="21"/>
              </w:rPr>
              <w:t>支路一</w:t>
            </w:r>
          </w:p>
        </w:tc>
        <w:tc>
          <w:tcPr>
            <w:tcW w:w="1121" w:type="dxa"/>
            <w:tcBorders>
              <w:left w:val="single" w:color="000000" w:sz="4" w:space="0"/>
            </w:tcBorders>
          </w:tcPr>
          <w:p>
            <w:pPr>
              <w:pStyle w:val="10"/>
              <w:ind w:left="117" w:right="113"/>
              <w:rPr>
                <w:sz w:val="21"/>
              </w:rPr>
            </w:pPr>
            <w:r>
              <w:rPr>
                <w:sz w:val="21"/>
              </w:rPr>
              <w:t>支路</w:t>
            </w:r>
          </w:p>
        </w:tc>
        <w:tc>
          <w:tcPr>
            <w:tcW w:w="1418" w:type="dxa"/>
          </w:tcPr>
          <w:p>
            <w:pPr>
              <w:pStyle w:val="10"/>
              <w:ind w:left="9" w:right="6"/>
              <w:rPr>
                <w:sz w:val="21"/>
              </w:rPr>
            </w:pPr>
            <w:r>
              <w:rPr>
                <w:sz w:val="21"/>
              </w:rPr>
              <w:t>20</w:t>
            </w:r>
          </w:p>
        </w:tc>
        <w:tc>
          <w:tcPr>
            <w:tcW w:w="4100" w:type="dxa"/>
          </w:tcPr>
          <w:p>
            <w:pPr>
              <w:pStyle w:val="10"/>
              <w:ind w:right="570"/>
              <w:jc w:val="right"/>
              <w:rPr>
                <w:sz w:val="21"/>
              </w:rPr>
            </w:pPr>
            <w:r>
              <w:rPr>
                <w:sz w:val="21"/>
              </w:rPr>
              <w:t>2.5(人行道)-15（车行道）-2.5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1560" w:type="dxa"/>
            <w:tcBorders>
              <w:right w:val="single" w:color="000000" w:sz="4" w:space="0"/>
            </w:tcBorders>
          </w:tcPr>
          <w:p>
            <w:pPr>
              <w:pStyle w:val="10"/>
              <w:ind w:left="338" w:right="331"/>
              <w:rPr>
                <w:sz w:val="21"/>
              </w:rPr>
            </w:pPr>
            <w:r>
              <w:rPr>
                <w:sz w:val="21"/>
              </w:rPr>
              <w:t>支路二</w:t>
            </w:r>
          </w:p>
        </w:tc>
        <w:tc>
          <w:tcPr>
            <w:tcW w:w="1121" w:type="dxa"/>
            <w:tcBorders>
              <w:left w:val="single" w:color="000000" w:sz="4" w:space="0"/>
            </w:tcBorders>
          </w:tcPr>
          <w:p>
            <w:pPr>
              <w:pStyle w:val="10"/>
              <w:ind w:left="117" w:right="113"/>
              <w:rPr>
                <w:sz w:val="21"/>
              </w:rPr>
            </w:pPr>
            <w:r>
              <w:rPr>
                <w:sz w:val="21"/>
              </w:rPr>
              <w:t>支路</w:t>
            </w:r>
          </w:p>
        </w:tc>
        <w:tc>
          <w:tcPr>
            <w:tcW w:w="1418" w:type="dxa"/>
          </w:tcPr>
          <w:p>
            <w:pPr>
              <w:pStyle w:val="10"/>
              <w:ind w:left="9" w:right="6"/>
              <w:rPr>
                <w:sz w:val="21"/>
              </w:rPr>
            </w:pPr>
            <w:r>
              <w:rPr>
                <w:sz w:val="21"/>
              </w:rPr>
              <w:t>18</w:t>
            </w:r>
          </w:p>
        </w:tc>
        <w:tc>
          <w:tcPr>
            <w:tcW w:w="4100" w:type="dxa"/>
          </w:tcPr>
          <w:p>
            <w:pPr>
              <w:pStyle w:val="10"/>
              <w:ind w:right="570"/>
              <w:jc w:val="right"/>
              <w:rPr>
                <w:sz w:val="21"/>
              </w:rPr>
            </w:pPr>
            <w:r>
              <w:rPr>
                <w:sz w:val="21"/>
              </w:rPr>
              <w:t>2.5(人行道)-13（车行道）-2.5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1560" w:type="dxa"/>
            <w:vMerge w:val="restart"/>
            <w:tcBorders>
              <w:right w:val="single" w:color="000000" w:sz="4" w:space="0"/>
            </w:tcBorders>
          </w:tcPr>
          <w:p>
            <w:pPr>
              <w:pStyle w:val="10"/>
              <w:spacing w:before="0"/>
              <w:jc w:val="left"/>
              <w:rPr>
                <w:sz w:val="20"/>
              </w:rPr>
            </w:pPr>
          </w:p>
          <w:p>
            <w:pPr>
              <w:pStyle w:val="10"/>
              <w:spacing w:before="10"/>
              <w:jc w:val="left"/>
              <w:rPr>
                <w:sz w:val="16"/>
              </w:rPr>
            </w:pPr>
          </w:p>
          <w:p>
            <w:pPr>
              <w:pStyle w:val="10"/>
              <w:spacing w:before="0"/>
              <w:ind w:left="254"/>
              <w:jc w:val="left"/>
              <w:rPr>
                <w:sz w:val="21"/>
              </w:rPr>
            </w:pPr>
            <w:r>
              <w:rPr>
                <w:sz w:val="21"/>
              </w:rPr>
              <w:t>龙凤北支路</w:t>
            </w:r>
          </w:p>
        </w:tc>
        <w:tc>
          <w:tcPr>
            <w:tcW w:w="1121" w:type="dxa"/>
            <w:vMerge w:val="restart"/>
            <w:tcBorders>
              <w:left w:val="single" w:color="000000" w:sz="4" w:space="0"/>
            </w:tcBorders>
          </w:tcPr>
          <w:p>
            <w:pPr>
              <w:pStyle w:val="10"/>
              <w:spacing w:before="0"/>
              <w:jc w:val="left"/>
              <w:rPr>
                <w:sz w:val="20"/>
              </w:rPr>
            </w:pPr>
          </w:p>
          <w:p>
            <w:pPr>
              <w:pStyle w:val="10"/>
              <w:spacing w:before="10"/>
              <w:jc w:val="left"/>
              <w:rPr>
                <w:sz w:val="16"/>
              </w:rPr>
            </w:pPr>
          </w:p>
          <w:p>
            <w:pPr>
              <w:pStyle w:val="10"/>
              <w:spacing w:before="0"/>
              <w:ind w:left="347"/>
              <w:jc w:val="left"/>
              <w:rPr>
                <w:sz w:val="21"/>
              </w:rPr>
            </w:pPr>
            <w:r>
              <w:rPr>
                <w:sz w:val="21"/>
              </w:rPr>
              <w:t>支路</w:t>
            </w:r>
          </w:p>
        </w:tc>
        <w:tc>
          <w:tcPr>
            <w:tcW w:w="1418" w:type="dxa"/>
          </w:tcPr>
          <w:p>
            <w:pPr>
              <w:pStyle w:val="10"/>
              <w:ind w:left="9" w:right="6"/>
              <w:rPr>
                <w:sz w:val="21"/>
              </w:rPr>
            </w:pPr>
            <w:r>
              <w:rPr>
                <w:sz w:val="21"/>
              </w:rPr>
              <w:t>20</w:t>
            </w:r>
          </w:p>
        </w:tc>
        <w:tc>
          <w:tcPr>
            <w:tcW w:w="4100" w:type="dxa"/>
          </w:tcPr>
          <w:p>
            <w:pPr>
              <w:pStyle w:val="10"/>
              <w:ind w:right="570"/>
              <w:jc w:val="right"/>
              <w:rPr>
                <w:sz w:val="21"/>
              </w:rPr>
            </w:pPr>
            <w:r>
              <w:rPr>
                <w:sz w:val="21"/>
              </w:rPr>
              <w:t>2.5(人行道)-15（车行道）-2.5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2" w:hRule="atLeast"/>
        </w:trPr>
        <w:tc>
          <w:tcPr>
            <w:tcW w:w="1560" w:type="dxa"/>
            <w:vMerge w:val="continue"/>
            <w:tcBorders>
              <w:top w:val="nil"/>
              <w:right w:val="single" w:color="000000" w:sz="4" w:space="0"/>
            </w:tcBorders>
          </w:tcPr>
          <w:p>
            <w:pPr>
              <w:rPr>
                <w:sz w:val="2"/>
                <w:szCs w:val="2"/>
              </w:rPr>
            </w:pPr>
          </w:p>
        </w:tc>
        <w:tc>
          <w:tcPr>
            <w:tcW w:w="1121" w:type="dxa"/>
            <w:vMerge w:val="continue"/>
            <w:tcBorders>
              <w:top w:val="nil"/>
              <w:left w:val="single" w:color="000000" w:sz="4" w:space="0"/>
            </w:tcBorders>
          </w:tcPr>
          <w:p>
            <w:pPr>
              <w:rPr>
                <w:sz w:val="2"/>
                <w:szCs w:val="2"/>
              </w:rPr>
            </w:pPr>
          </w:p>
        </w:tc>
        <w:tc>
          <w:tcPr>
            <w:tcW w:w="1418" w:type="dxa"/>
          </w:tcPr>
          <w:p>
            <w:pPr>
              <w:pStyle w:val="10"/>
              <w:ind w:left="9" w:right="6"/>
              <w:rPr>
                <w:sz w:val="21"/>
              </w:rPr>
            </w:pPr>
            <w:r>
              <w:rPr>
                <w:sz w:val="21"/>
              </w:rPr>
              <w:t>24</w:t>
            </w:r>
          </w:p>
        </w:tc>
        <w:tc>
          <w:tcPr>
            <w:tcW w:w="4100" w:type="dxa"/>
          </w:tcPr>
          <w:p>
            <w:pPr>
              <w:pStyle w:val="10"/>
              <w:ind w:left="685"/>
              <w:jc w:val="left"/>
              <w:rPr>
                <w:sz w:val="21"/>
              </w:rPr>
            </w:pPr>
            <w:r>
              <w:rPr>
                <w:sz w:val="21"/>
              </w:rPr>
              <w:t>2.5(人行道)-19(车行道)-2.5</w:t>
            </w:r>
          </w:p>
        </w:tc>
      </w:tr>
    </w:tbl>
    <w:p>
      <w:pPr>
        <w:pStyle w:val="3"/>
        <w:spacing w:before="0"/>
        <w:ind w:left="685"/>
      </w:pPr>
      <w:r>
        <w:t>二、交叉口规划</w:t>
      </w:r>
    </w:p>
    <w:p>
      <w:pPr>
        <w:pStyle w:val="3"/>
        <w:spacing w:line="364" w:lineRule="auto"/>
        <w:ind w:right="202" w:firstLine="559"/>
        <w:jc w:val="both"/>
      </w:pPr>
      <w:r>
        <w:t xml:space="preserve">京福支线与京山铁路相交规划为京福支线主线下穿的分离式立交， </w:t>
      </w:r>
      <w:r>
        <w:rPr>
          <w:spacing w:val="-2"/>
        </w:rPr>
        <w:t>规划横断面为</w:t>
      </w:r>
      <w:r>
        <w:t>（</w:t>
      </w:r>
      <w:r>
        <w:rPr>
          <w:spacing w:val="-3"/>
        </w:rPr>
        <w:t>西）5.75（</w:t>
      </w:r>
      <w:r>
        <w:rPr>
          <w:spacing w:val="-2"/>
        </w:rPr>
        <w:t>绿化带</w:t>
      </w:r>
      <w:r>
        <w:t>）-52.5（</w:t>
      </w:r>
      <w:r>
        <w:rPr>
          <w:spacing w:val="-2"/>
        </w:rPr>
        <w:t>地道[3（人行道</w:t>
      </w:r>
      <w:r>
        <w:rPr>
          <w:spacing w:val="-3"/>
        </w:rPr>
        <w:t>）-3.5（非</w:t>
      </w:r>
      <w:r>
        <w:rPr>
          <w:spacing w:val="47"/>
        </w:rPr>
        <w:t>机动车道</w:t>
      </w:r>
      <w:r>
        <w:t>）</w:t>
      </w:r>
      <w:r>
        <w:rPr>
          <w:spacing w:val="-89"/>
        </w:rPr>
        <w:t xml:space="preserve"> </w:t>
      </w:r>
      <w:r>
        <w:t>-0.5</w:t>
      </w:r>
      <w:r>
        <w:rPr>
          <w:spacing w:val="16"/>
        </w:rPr>
        <w:t>( 机非分隔墩)-</w:t>
      </w:r>
      <w:r>
        <w:t>15.5</w:t>
      </w:r>
      <w:r>
        <w:rPr>
          <w:spacing w:val="-90"/>
        </w:rPr>
        <w:t xml:space="preserve"> </w:t>
      </w:r>
      <w:r>
        <w:t>（</w:t>
      </w:r>
      <w:r>
        <w:rPr>
          <w:spacing w:val="12"/>
        </w:rPr>
        <w:t xml:space="preserve"> 车行道</w:t>
      </w:r>
      <w:r>
        <w:t>）</w:t>
      </w:r>
      <w:r>
        <w:rPr>
          <w:spacing w:val="-88"/>
        </w:rPr>
        <w:t xml:space="preserve"> </w:t>
      </w:r>
      <w:r>
        <w:t>-7.5</w:t>
      </w:r>
      <w:r>
        <w:rPr>
          <w:spacing w:val="-91"/>
        </w:rPr>
        <w:t xml:space="preserve"> </w:t>
      </w:r>
      <w:r>
        <w:rPr>
          <w:spacing w:val="50"/>
        </w:rPr>
        <w:t>（</w:t>
      </w:r>
      <w:r>
        <w:rPr>
          <w:spacing w:val="48"/>
        </w:rPr>
        <w:t>中间带</w:t>
      </w:r>
      <w:r>
        <w:t>）</w:t>
      </w:r>
      <w:r>
        <w:rPr>
          <w:spacing w:val="-90"/>
        </w:rPr>
        <w:t xml:space="preserve"> </w:t>
      </w:r>
    </w:p>
    <w:p>
      <w:pPr>
        <w:pStyle w:val="3"/>
        <w:spacing w:before="0" w:line="357" w:lineRule="exact"/>
      </w:pPr>
      <w:r>
        <w:rPr>
          <w:spacing w:val="1"/>
          <w:w w:val="100"/>
        </w:rPr>
        <w:t>-</w:t>
      </w:r>
      <w:r>
        <w:rPr>
          <w:spacing w:val="-2"/>
          <w:w w:val="100"/>
        </w:rPr>
        <w:t>15</w:t>
      </w:r>
      <w:r>
        <w:rPr>
          <w:w w:val="100"/>
        </w:rPr>
        <w:t>.</w:t>
      </w:r>
      <w:r>
        <w:rPr>
          <w:spacing w:val="-2"/>
          <w:w w:val="100"/>
        </w:rPr>
        <w:t>5-</w:t>
      </w:r>
      <w:r>
        <w:rPr>
          <w:w w:val="100"/>
        </w:rPr>
        <w:t>0</w:t>
      </w:r>
      <w:r>
        <w:rPr>
          <w:spacing w:val="-2"/>
          <w:w w:val="100"/>
        </w:rPr>
        <w:t>.</w:t>
      </w:r>
      <w:r>
        <w:rPr>
          <w:spacing w:val="-1"/>
          <w:w w:val="100"/>
        </w:rPr>
        <w:t>5</w:t>
      </w:r>
      <w:r>
        <w:rPr>
          <w:spacing w:val="1"/>
          <w:w w:val="100"/>
        </w:rPr>
        <w:t>-</w:t>
      </w:r>
      <w:r>
        <w:rPr>
          <w:spacing w:val="-2"/>
          <w:w w:val="100"/>
        </w:rPr>
        <w:t>3.</w:t>
      </w:r>
      <w:r>
        <w:rPr>
          <w:spacing w:val="1"/>
          <w:w w:val="100"/>
        </w:rPr>
        <w:t>5</w:t>
      </w:r>
      <w:r>
        <w:rPr>
          <w:spacing w:val="-2"/>
          <w:w w:val="100"/>
        </w:rPr>
        <w:t>-3]</w:t>
      </w:r>
      <w:r>
        <w:rPr>
          <w:w w:val="100"/>
        </w:rPr>
        <w:t>）</w:t>
      </w:r>
      <w:r>
        <w:rPr>
          <w:spacing w:val="-2"/>
          <w:w w:val="100"/>
        </w:rPr>
        <w:t>-</w:t>
      </w:r>
      <w:r>
        <w:rPr>
          <w:w w:val="100"/>
        </w:rPr>
        <w:t>2</w:t>
      </w:r>
      <w:r>
        <w:rPr>
          <w:spacing w:val="-2"/>
          <w:w w:val="100"/>
        </w:rPr>
        <w:t>1.</w:t>
      </w:r>
      <w:r>
        <w:rPr>
          <w:w w:val="100"/>
        </w:rPr>
        <w:t>7</w:t>
      </w:r>
      <w:r>
        <w:rPr>
          <w:spacing w:val="-1"/>
          <w:w w:val="100"/>
        </w:rPr>
        <w:t>5</w:t>
      </w:r>
      <w:r>
        <w:rPr>
          <w:w w:val="100"/>
        </w:rPr>
        <w:t>（</w:t>
      </w:r>
      <w:r>
        <w:rPr>
          <w:spacing w:val="-2"/>
          <w:w w:val="100"/>
        </w:rPr>
        <w:t>绿化带</w:t>
      </w:r>
      <w:r>
        <w:rPr>
          <w:spacing w:val="-142"/>
          <w:w w:val="100"/>
        </w:rPr>
        <w:t>）</w:t>
      </w:r>
      <w:r>
        <w:rPr>
          <w:w w:val="100"/>
        </w:rPr>
        <w:t>（东</w:t>
      </w:r>
      <w:r>
        <w:rPr>
          <w:spacing w:val="-142"/>
          <w:w w:val="100"/>
        </w:rPr>
        <w:t>）</w:t>
      </w:r>
      <w:r>
        <w:rPr>
          <w:w w:val="100"/>
        </w:rPr>
        <w:t>。</w:t>
      </w:r>
    </w:p>
    <w:p>
      <w:pPr>
        <w:pStyle w:val="3"/>
        <w:ind w:left="678"/>
      </w:pPr>
      <w:r>
        <w:t>京福支线与龙凤河故道相交规划为京福支线上跨龙凤河故道的平</w:t>
      </w:r>
    </w:p>
    <w:p>
      <w:pPr>
        <w:spacing w:after="0"/>
        <w:sectPr>
          <w:pgSz w:w="11910" w:h="16850"/>
          <w:pgMar w:top="1040" w:right="1440" w:bottom="1180" w:left="1300" w:header="0" w:footer="993" w:gutter="0"/>
        </w:sectPr>
      </w:pPr>
    </w:p>
    <w:p>
      <w:pPr>
        <w:pStyle w:val="3"/>
        <w:spacing w:before="49" w:line="364" w:lineRule="auto"/>
        <w:ind w:right="252"/>
        <w:jc w:val="both"/>
      </w:pPr>
      <w:r>
        <w:t>桥，路桥同宽，京福支线与永定河相交规划为京福支线上跨永定河的桥</w:t>
      </w:r>
      <w:r>
        <w:rPr>
          <w:spacing w:val="-17"/>
        </w:rPr>
        <w:t xml:space="preserve">梁，桥宽 </w:t>
      </w:r>
      <w:r>
        <w:t>50</w:t>
      </w:r>
      <w:r>
        <w:rPr>
          <w:spacing w:val="-17"/>
        </w:rPr>
        <w:t xml:space="preserve"> 米，规划横断面为 </w:t>
      </w:r>
      <w:r>
        <w:rPr>
          <w:spacing w:val="-9"/>
        </w:rPr>
        <w:t>3（</w:t>
      </w:r>
      <w:r>
        <w:rPr>
          <w:spacing w:val="-2"/>
        </w:rPr>
        <w:t>人行道</w:t>
      </w:r>
      <w:r>
        <w:rPr>
          <w:spacing w:val="-7"/>
        </w:rPr>
        <w:t>）-3.5（</w:t>
      </w:r>
      <w:r>
        <w:rPr>
          <w:spacing w:val="-3"/>
        </w:rPr>
        <w:t>非机动车道</w:t>
      </w:r>
      <w:r>
        <w:rPr>
          <w:spacing w:val="-4"/>
        </w:rPr>
        <w:t>）-0.5</w:t>
      </w:r>
      <w:r>
        <w:rPr>
          <w:spacing w:val="-2"/>
        </w:rPr>
        <w:t>(机</w:t>
      </w:r>
      <w:r>
        <w:rPr>
          <w:spacing w:val="-3"/>
        </w:rPr>
        <w:t>非分隔墩)-</w:t>
      </w:r>
      <w:r>
        <w:t>15.5（车行道）-5（</w:t>
      </w:r>
      <w:r>
        <w:rPr>
          <w:spacing w:val="-2"/>
        </w:rPr>
        <w:t>中央分隔带</w:t>
      </w:r>
      <w:r>
        <w:t>）-15.5-0.5-3.5-3。</w:t>
      </w:r>
    </w:p>
    <w:p>
      <w:pPr>
        <w:pStyle w:val="3"/>
        <w:spacing w:before="0" w:line="364" w:lineRule="auto"/>
        <w:ind w:left="668" w:right="1765" w:firstLine="9"/>
      </w:pPr>
      <w:r>
        <w:t>龙凤北支路与京福支线相交采用右转进出的交通组织。本规划范围内其它交叉口均为普通平面交叉路口。</w:t>
      </w:r>
    </w:p>
    <w:p>
      <w:pPr>
        <w:pStyle w:val="3"/>
        <w:spacing w:before="0" w:line="358" w:lineRule="exact"/>
        <w:ind w:left="668"/>
      </w:pPr>
      <w:r>
        <w:t>三、出入口</w:t>
      </w:r>
    </w:p>
    <w:p>
      <w:pPr>
        <w:pStyle w:val="3"/>
        <w:spacing w:before="183" w:line="364" w:lineRule="auto"/>
        <w:ind w:right="116" w:firstLine="549"/>
        <w:jc w:val="both"/>
      </w:pPr>
      <w:r>
        <w:t>结合地块周边道路交通条件，规划建议将地块机动车出入口尽可能设置在次要道路上，不宜在行人集中地区设置机动车出入口，不得在交叉口、人行横道、公共交通停靠站处设置机动车出入口；对于必须设置</w:t>
      </w:r>
      <w:r>
        <w:rPr>
          <w:spacing w:val="-8"/>
        </w:rPr>
        <w:t>在快速路辅道、主干路上的地块出入口实行机动车右转进出的交通管制。</w:t>
      </w:r>
    </w:p>
    <w:p>
      <w:pPr>
        <w:pStyle w:val="2"/>
        <w:spacing w:before="154"/>
      </w:pPr>
      <w:bookmarkStart w:id="17" w:name="_bookmark17"/>
      <w:bookmarkEnd w:id="17"/>
      <w:r>
        <w:t>第二节 铁路</w:t>
      </w:r>
    </w:p>
    <w:p>
      <w:pPr>
        <w:pStyle w:val="3"/>
        <w:ind w:left="678"/>
      </w:pPr>
      <w:r>
        <w:t>京山铁路：国铁Ⅰ级，规划为四线，客货混行，高路基敷设。</w:t>
      </w:r>
    </w:p>
    <w:p>
      <w:pPr>
        <w:pStyle w:val="3"/>
        <w:spacing w:before="187" w:line="364" w:lineRule="auto"/>
        <w:ind w:right="258" w:firstLine="559"/>
      </w:pPr>
      <w:r>
        <w:t>豆双铁路：国铁Ⅰ级，规划为复线，是天津货运枢纽铁路环线的重要组成线路。</w:t>
      </w:r>
    </w:p>
    <w:p>
      <w:pPr>
        <w:pStyle w:val="3"/>
        <w:spacing w:before="0" w:line="364" w:lineRule="auto"/>
        <w:ind w:right="255" w:firstLine="559"/>
      </w:pPr>
      <w:r>
        <w:rPr>
          <w:spacing w:val="-7"/>
        </w:rPr>
        <w:t xml:space="preserve">规划要求普通铁路外侧轨中以外 </w:t>
      </w:r>
      <w:r>
        <w:rPr>
          <w:rFonts w:ascii="Times New Roman" w:eastAsia="Times New Roman"/>
        </w:rPr>
        <w:t xml:space="preserve">32 </w:t>
      </w:r>
      <w:r>
        <w:rPr>
          <w:spacing w:val="-8"/>
        </w:rPr>
        <w:t>米为铁路控制界限，控制线内的</w:t>
      </w:r>
      <w:r>
        <w:rPr>
          <w:spacing w:val="-3"/>
        </w:rPr>
        <w:t>建设应满足《天津市规划控制线管理规定》的相关要求。</w:t>
      </w:r>
    </w:p>
    <w:p>
      <w:pPr>
        <w:pStyle w:val="2"/>
        <w:spacing w:before="154"/>
        <w:ind w:left="2896" w:right="0"/>
        <w:jc w:val="left"/>
      </w:pPr>
      <w:bookmarkStart w:id="18" w:name="_bookmark18"/>
      <w:bookmarkEnd w:id="18"/>
      <w:r>
        <w:t>第三节 社会停车场库规划</w:t>
      </w:r>
    </w:p>
    <w:p>
      <w:pPr>
        <w:pStyle w:val="3"/>
        <w:spacing w:before="11"/>
        <w:ind w:left="0"/>
        <w:rPr>
          <w:b/>
          <w:sz w:val="23"/>
        </w:rPr>
      </w:pPr>
    </w:p>
    <w:p>
      <w:pPr>
        <w:pStyle w:val="3"/>
        <w:spacing w:before="0" w:line="364" w:lineRule="auto"/>
        <w:ind w:right="116" w:firstLine="559"/>
      </w:pPr>
      <w:r>
        <w:rPr>
          <w:spacing w:val="-3"/>
        </w:rPr>
        <w:t>本单元区内各类建筑物应根据现行有效《</w:t>
      </w:r>
      <w:bookmarkStart w:id="35" w:name="_GoBack"/>
      <w:bookmarkEnd w:id="35"/>
      <w:r>
        <w:rPr>
          <w:spacing w:val="-3"/>
        </w:rPr>
        <w:t xml:space="preserve">天津市建设项目配建停车 </w:t>
      </w:r>
      <w:r>
        <w:rPr>
          <w:spacing w:val="-5"/>
        </w:rPr>
        <w:t>场</w:t>
      </w:r>
      <w:r>
        <w:rPr>
          <w:spacing w:val="-1"/>
        </w:rPr>
        <w:t>（库</w:t>
      </w:r>
      <w:r>
        <w:rPr>
          <w:spacing w:val="-5"/>
        </w:rPr>
        <w:t>）</w:t>
      </w:r>
      <w:r>
        <w:rPr>
          <w:spacing w:val="-50"/>
        </w:rPr>
        <w:t>标准》</w:t>
      </w:r>
      <w:r>
        <w:rPr>
          <w:spacing w:val="-1"/>
        </w:rPr>
        <w:t>（</w:t>
      </w:r>
      <w:r>
        <w:rPr>
          <w:rFonts w:ascii="Times New Roman" w:eastAsia="Times New Roman"/>
          <w:spacing w:val="-1"/>
        </w:rPr>
        <w:t>DB/T29-6-2018</w:t>
      </w:r>
      <w:r>
        <w:rPr>
          <w:spacing w:val="-1"/>
        </w:rPr>
        <w:t>）</w:t>
      </w:r>
      <w:r>
        <w:rPr>
          <w:spacing w:val="-3"/>
        </w:rPr>
        <w:t>及相关规定要求配建足够的停车场地。</w:t>
      </w:r>
    </w:p>
    <w:p>
      <w:pPr>
        <w:pStyle w:val="2"/>
        <w:spacing w:before="155"/>
        <w:ind w:right="139"/>
      </w:pPr>
      <w:bookmarkStart w:id="19" w:name="_bookmark19"/>
      <w:bookmarkEnd w:id="19"/>
      <w:r>
        <w:t>第四节 交通场站设施规划</w:t>
      </w:r>
    </w:p>
    <w:p>
      <w:pPr>
        <w:pStyle w:val="3"/>
        <w:spacing w:before="187"/>
        <w:ind w:left="678"/>
      </w:pPr>
      <w:r>
        <w:t>本单元内规划 1 处公共停车场、1 处加油加气站。</w:t>
      </w:r>
    </w:p>
    <w:p>
      <w:pPr>
        <w:pStyle w:val="3"/>
        <w:ind w:left="678"/>
        <w:rPr>
          <w:color w:val="000000" w:themeColor="text1"/>
          <w14:textFill>
            <w14:solidFill>
              <w14:schemeClr w14:val="tx1"/>
            </w14:solidFill>
          </w14:textFill>
        </w:rPr>
      </w:pPr>
      <w:r>
        <w:rPr>
          <w:color w:val="000000" w:themeColor="text1"/>
          <w14:textFill>
            <w14:solidFill>
              <w14:schemeClr w14:val="tx1"/>
            </w14:solidFill>
          </w14:textFill>
        </w:rPr>
        <w:t>在支路二西南侧回民公墓范围内布置公共停车场 1 处，占地面积约</w:t>
      </w:r>
    </w:p>
    <w:p>
      <w:pPr>
        <w:pStyle w:val="3"/>
        <w:ind w:left="0" w:right="311"/>
        <w:jc w:val="center"/>
        <w:rPr>
          <w:color w:val="000000" w:themeColor="text1"/>
          <w14:textFill>
            <w14:solidFill>
              <w14:schemeClr w14:val="tx1"/>
            </w14:solidFill>
          </w14:textFill>
        </w:rPr>
      </w:pPr>
      <w:r>
        <w:rPr>
          <w:color w:val="000000" w:themeColor="text1"/>
          <w14:textFill>
            <w14:solidFill>
              <w14:schemeClr w14:val="tx1"/>
            </w14:solidFill>
          </w14:textFill>
        </w:rPr>
        <w:t>4000</w:t>
      </w:r>
      <w:r>
        <w:rPr>
          <w:color w:val="000000" w:themeColor="text1"/>
          <w:spacing w:val="-16"/>
          <w14:textFill>
            <w14:solidFill>
              <w14:schemeClr w14:val="tx1"/>
            </w14:solidFill>
          </w14:textFill>
        </w:rPr>
        <w:t xml:space="preserve"> 平方米，安排不少于 </w:t>
      </w:r>
      <w:r>
        <w:rPr>
          <w:color w:val="000000" w:themeColor="text1"/>
          <w14:textFill>
            <w14:solidFill>
              <w14:schemeClr w14:val="tx1"/>
            </w14:solidFill>
          </w14:textFill>
        </w:rPr>
        <w:t>100</w:t>
      </w:r>
      <w:r>
        <w:rPr>
          <w:color w:val="000000" w:themeColor="text1"/>
          <w:spacing w:val="-17"/>
          <w14:textFill>
            <w14:solidFill>
              <w14:schemeClr w14:val="tx1"/>
            </w14:solidFill>
          </w14:textFill>
        </w:rPr>
        <w:t xml:space="preserve"> 个小客车停车位和 </w:t>
      </w:r>
      <w:r>
        <w:rPr>
          <w:color w:val="000000" w:themeColor="text1"/>
          <w14:textFill>
            <w14:solidFill>
              <w14:schemeClr w14:val="tx1"/>
            </w14:solidFill>
          </w14:textFill>
        </w:rPr>
        <w:t>10</w:t>
      </w:r>
      <w:r>
        <w:rPr>
          <w:color w:val="000000" w:themeColor="text1"/>
          <w:spacing w:val="-10"/>
          <w14:textFill>
            <w14:solidFill>
              <w14:schemeClr w14:val="tx1"/>
            </w14:solidFill>
          </w14:textFill>
        </w:rPr>
        <w:t xml:space="preserve"> 个大客车停车位。</w:t>
      </w:r>
    </w:p>
    <w:p>
      <w:pPr>
        <w:pStyle w:val="3"/>
        <w:ind w:left="678"/>
      </w:pPr>
      <w:r>
        <w:t>在京福支线与小营路交叉口西南角安排加油加气站 1 处，占地面积</w:t>
      </w:r>
    </w:p>
    <w:p>
      <w:pPr>
        <w:pStyle w:val="3"/>
        <w:spacing w:before="184"/>
        <w:jc w:val="both"/>
      </w:pPr>
      <w:r>
        <w:t>约 3590 平方米，按照二级加油（气）站控制。</w:t>
      </w:r>
    </w:p>
    <w:p>
      <w:pPr>
        <w:spacing w:after="0"/>
        <w:jc w:val="both"/>
        <w:sectPr>
          <w:pgSz w:w="11910" w:h="16850"/>
          <w:pgMar w:top="1040" w:right="1440" w:bottom="1180" w:left="1300" w:header="0" w:footer="993" w:gutter="0"/>
        </w:sectPr>
      </w:pPr>
    </w:p>
    <w:p>
      <w:pPr>
        <w:pStyle w:val="3"/>
        <w:spacing w:before="49"/>
        <w:ind w:left="678"/>
      </w:pPr>
      <w:r>
        <w:t>加油加气站站外建（构）筑物与站内相关设施的安全间距，应满足</w:t>
      </w:r>
    </w:p>
    <w:p>
      <w:pPr>
        <w:pStyle w:val="3"/>
        <w:spacing w:before="187"/>
      </w:pPr>
      <w:r>
        <w:t>《汽车加油加气站设计与施工规范》（GB 50156-2012）的相关要求。</w:t>
      </w:r>
    </w:p>
    <w:p>
      <w:pPr>
        <w:pStyle w:val="3"/>
        <w:spacing w:before="4"/>
        <w:ind w:left="0"/>
        <w:rPr>
          <w:sz w:val="25"/>
        </w:rPr>
      </w:pPr>
    </w:p>
    <w:p>
      <w:pPr>
        <w:pStyle w:val="2"/>
        <w:spacing w:line="700" w:lineRule="atLeast"/>
        <w:ind w:left="3177" w:right="3316"/>
      </w:pPr>
      <w:bookmarkStart w:id="20" w:name="_bookmark20"/>
      <w:bookmarkEnd w:id="20"/>
      <w:r>
        <w:t>第六章 市政工程规划</w:t>
      </w:r>
      <w:bookmarkStart w:id="21" w:name="_bookmark21"/>
      <w:bookmarkEnd w:id="21"/>
      <w:r>
        <w:t>第一节 控制内容</w:t>
      </w:r>
    </w:p>
    <w:p>
      <w:pPr>
        <w:pStyle w:val="3"/>
        <w:spacing w:before="187" w:line="364" w:lineRule="auto"/>
        <w:ind w:right="255" w:firstLine="559"/>
      </w:pPr>
      <w:r>
        <w:t>市政工程规划的内容包括给水、排水、电力、通讯、燃气、供热、环卫、消防和其他等设施规划。</w:t>
      </w:r>
    </w:p>
    <w:p>
      <w:pPr>
        <w:pStyle w:val="2"/>
        <w:spacing w:before="156"/>
      </w:pPr>
      <w:bookmarkStart w:id="22" w:name="_bookmark22"/>
      <w:bookmarkEnd w:id="22"/>
      <w:r>
        <w:t>第二节 给水规划</w:t>
      </w:r>
    </w:p>
    <w:p>
      <w:pPr>
        <w:pStyle w:val="3"/>
        <w:spacing w:line="364" w:lineRule="auto"/>
        <w:ind w:right="368" w:firstLine="559"/>
      </w:pPr>
      <w:r>
        <w:t>一、水源近期引自单元外现状水厂，远期由规划武清水厂、市区水厂联合提供。</w:t>
      </w:r>
    </w:p>
    <w:p>
      <w:pPr>
        <w:pStyle w:val="3"/>
        <w:spacing w:before="0" w:line="364" w:lineRule="auto"/>
        <w:ind w:right="259" w:firstLine="559"/>
      </w:pPr>
      <w:r>
        <w:t>二、再生水水源由单元外规划再生水厂提供，解决道路、绿化、洗车、冲厕等非饮用水需求。</w:t>
      </w:r>
    </w:p>
    <w:p>
      <w:pPr>
        <w:spacing w:before="154" w:line="364" w:lineRule="auto"/>
        <w:ind w:left="678" w:right="3597" w:firstLine="2782"/>
        <w:jc w:val="left"/>
        <w:rPr>
          <w:sz w:val="28"/>
        </w:rPr>
      </w:pPr>
      <w:bookmarkStart w:id="23" w:name="_bookmark23"/>
      <w:bookmarkEnd w:id="23"/>
      <w:r>
        <w:rPr>
          <w:b/>
          <w:sz w:val="28"/>
        </w:rPr>
        <w:t>第三节 排水规划</w:t>
      </w:r>
      <w:r>
        <w:rPr>
          <w:sz w:val="28"/>
        </w:rPr>
        <w:t>一、排水体制采用雨、污分流制。</w:t>
      </w:r>
    </w:p>
    <w:p>
      <w:pPr>
        <w:pStyle w:val="3"/>
        <w:spacing w:before="0" w:line="364" w:lineRule="auto"/>
        <w:ind w:right="367" w:firstLine="559"/>
        <w:jc w:val="both"/>
      </w:pPr>
      <w:r>
        <w:t>二、排水出路：本单元雨水通过单元外泵站强排及自流就近排入龙凤河故道。污水向东排入规划区外现状污水泵站，经提升后排入现状第七污水处理厂。</w:t>
      </w:r>
    </w:p>
    <w:p>
      <w:pPr>
        <w:pStyle w:val="3"/>
        <w:spacing w:before="0" w:line="355" w:lineRule="exact"/>
        <w:ind w:left="678"/>
      </w:pPr>
      <w:r>
        <w:t>三、保留本单元现状污泥处理厂。该厂区周围应当设置宽度不小于</w:t>
      </w:r>
    </w:p>
    <w:p>
      <w:pPr>
        <w:pStyle w:val="3"/>
        <w:spacing w:before="185" w:line="364" w:lineRule="auto"/>
        <w:ind w:right="292"/>
      </w:pPr>
      <w:r>
        <w:t>10</w:t>
      </w:r>
      <w:r>
        <w:rPr>
          <w:spacing w:val="-13"/>
        </w:rPr>
        <w:t xml:space="preserve"> 米的绿化带，并设置不小于 </w:t>
      </w:r>
      <w:r>
        <w:t>150</w:t>
      </w:r>
      <w:r>
        <w:rPr>
          <w:spacing w:val="-10"/>
        </w:rPr>
        <w:t xml:space="preserve"> 米的卫生防护距离。运行时必须采取</w:t>
      </w:r>
      <w:r>
        <w:rPr>
          <w:spacing w:val="-7"/>
        </w:rPr>
        <w:t>除臭和废水废气的处理措施，消除对周边区域环境安全影响。</w:t>
      </w:r>
    </w:p>
    <w:p>
      <w:pPr>
        <w:pStyle w:val="3"/>
        <w:spacing w:before="0" w:line="364" w:lineRule="auto"/>
        <w:ind w:right="261" w:firstLine="559"/>
      </w:pPr>
      <w:r>
        <w:t>四、龙凤河故道为二级河道，有排涝、调蓄、灌溉、生态廊道等功能，根据河道管理规定，对河道两侧进行保护控制。</w:t>
      </w:r>
    </w:p>
    <w:p>
      <w:pPr>
        <w:pStyle w:val="2"/>
        <w:spacing w:before="155"/>
      </w:pPr>
      <w:bookmarkStart w:id="24" w:name="_bookmark24"/>
      <w:bookmarkEnd w:id="24"/>
      <w:r>
        <w:t>第四节 电力规划</w:t>
      </w:r>
    </w:p>
    <w:p>
      <w:pPr>
        <w:pStyle w:val="3"/>
        <w:ind w:left="678"/>
      </w:pPr>
      <w:r>
        <w:t>一、保留现状 220 千伏电力架空线，控制 90 米电力走廊。</w:t>
      </w:r>
    </w:p>
    <w:p>
      <w:pPr>
        <w:pStyle w:val="3"/>
        <w:ind w:left="678"/>
      </w:pPr>
      <w:r>
        <w:rPr>
          <w:spacing w:val="-13"/>
        </w:rPr>
        <w:t xml:space="preserve">二、电源由单元外雍西 </w:t>
      </w:r>
      <w:r>
        <w:t>110</w:t>
      </w:r>
      <w:r>
        <w:rPr>
          <w:spacing w:val="-16"/>
        </w:rPr>
        <w:t xml:space="preserve"> 千伏变电站和规划 </w:t>
      </w:r>
      <w:r>
        <w:t>110</w:t>
      </w:r>
      <w:r>
        <w:rPr>
          <w:spacing w:val="-11"/>
        </w:rPr>
        <w:t xml:space="preserve"> 千伏变电站提供。</w:t>
      </w:r>
    </w:p>
    <w:p>
      <w:pPr>
        <w:spacing w:after="0"/>
        <w:sectPr>
          <w:pgSz w:w="11910" w:h="16850"/>
          <w:pgMar w:top="1040" w:right="1440" w:bottom="1180" w:left="1300" w:header="0" w:footer="993" w:gutter="0"/>
        </w:sectPr>
      </w:pPr>
    </w:p>
    <w:p>
      <w:pPr>
        <w:pStyle w:val="3"/>
        <w:spacing w:before="49"/>
      </w:pPr>
      <w:r>
        <w:t>大型公建根据负荷需要自设变电设施。</w:t>
      </w:r>
    </w:p>
    <w:p>
      <w:pPr>
        <w:pStyle w:val="3"/>
        <w:spacing w:before="9"/>
        <w:ind w:left="0"/>
        <w:rPr>
          <w:sz w:val="26"/>
        </w:rPr>
      </w:pPr>
    </w:p>
    <w:p>
      <w:pPr>
        <w:pStyle w:val="2"/>
        <w:spacing w:before="1"/>
      </w:pPr>
      <w:bookmarkStart w:id="25" w:name="_bookmark25"/>
      <w:bookmarkEnd w:id="25"/>
      <w:r>
        <w:t>第五节 通讯规划</w:t>
      </w:r>
    </w:p>
    <w:p>
      <w:pPr>
        <w:pStyle w:val="3"/>
        <w:spacing w:before="3"/>
        <w:ind w:left="0"/>
        <w:rPr>
          <w:b/>
          <w:sz w:val="33"/>
        </w:rPr>
      </w:pPr>
    </w:p>
    <w:p>
      <w:pPr>
        <w:pStyle w:val="3"/>
        <w:spacing w:before="0"/>
        <w:ind w:left="678"/>
      </w:pPr>
      <w:r>
        <w:t>一、由单元内电话局和单元外邮政局提供通信服务。</w:t>
      </w:r>
    </w:p>
    <w:p>
      <w:pPr>
        <w:pStyle w:val="3"/>
        <w:ind w:left="678"/>
      </w:pPr>
      <w:r>
        <w:rPr>
          <w:spacing w:val="-12"/>
        </w:rPr>
        <w:t xml:space="preserve">二、本单元规划 </w:t>
      </w:r>
      <w:r>
        <w:t>1</w:t>
      </w:r>
      <w:r>
        <w:rPr>
          <w:spacing w:val="-10"/>
        </w:rPr>
        <w:t xml:space="preserve"> 座电话局，设置在公建首层，方便通信管道接入。</w:t>
      </w:r>
    </w:p>
    <w:p>
      <w:pPr>
        <w:pStyle w:val="3"/>
        <w:spacing w:before="9"/>
        <w:ind w:left="0"/>
        <w:rPr>
          <w:sz w:val="26"/>
        </w:rPr>
      </w:pPr>
    </w:p>
    <w:p>
      <w:pPr>
        <w:pStyle w:val="2"/>
      </w:pPr>
      <w:bookmarkStart w:id="26" w:name="_bookmark26"/>
      <w:bookmarkEnd w:id="26"/>
      <w:r>
        <w:t>第六节 燃气规划</w:t>
      </w:r>
    </w:p>
    <w:p>
      <w:pPr>
        <w:pStyle w:val="3"/>
        <w:ind w:left="678"/>
      </w:pPr>
      <w:r>
        <w:t>一、气源采用天然气，由单元内现状燃气高调站提供。</w:t>
      </w:r>
    </w:p>
    <w:p>
      <w:pPr>
        <w:pStyle w:val="3"/>
        <w:spacing w:line="364" w:lineRule="auto"/>
        <w:ind w:right="363" w:firstLine="559"/>
        <w:jc w:val="both"/>
      </w:pPr>
      <w:r>
        <w:t>二、保留单元内现状燃气高调站，大型公建自建调压设施满足用气需要，按照相关规定对燃气设施进行保护。燃气设施周边用地开发建设前，须开展环评、安评工作，拟建建筑物与燃气设施间距必须满足安全规范要求，确保规划区安全。</w:t>
      </w:r>
    </w:p>
    <w:p>
      <w:pPr>
        <w:pStyle w:val="2"/>
        <w:spacing w:before="155"/>
      </w:pPr>
      <w:bookmarkStart w:id="27" w:name="_bookmark27"/>
      <w:bookmarkEnd w:id="27"/>
      <w:r>
        <w:t>第七节 供热规划</w:t>
      </w:r>
    </w:p>
    <w:p>
      <w:pPr>
        <w:pStyle w:val="3"/>
        <w:spacing w:line="364" w:lineRule="auto"/>
        <w:ind w:right="64" w:firstLine="559"/>
      </w:pPr>
      <w:r>
        <w:t>热源由单元外供热站提供，同时鼓励采用地热、天然气等清洁热源， 保护大气环境。</w:t>
      </w:r>
    </w:p>
    <w:p>
      <w:pPr>
        <w:pStyle w:val="2"/>
        <w:spacing w:before="155"/>
      </w:pPr>
      <w:bookmarkStart w:id="28" w:name="_bookmark28"/>
      <w:bookmarkEnd w:id="28"/>
      <w:r>
        <w:t>第八节 环卫工程</w:t>
      </w:r>
    </w:p>
    <w:p>
      <w:pPr>
        <w:pStyle w:val="3"/>
        <w:spacing w:line="362" w:lineRule="auto"/>
        <w:ind w:right="262" w:firstLine="559"/>
      </w:pPr>
      <w:r>
        <w:t>生活垃圾经单元外垃圾转运站转运，运往武清区雍泰垃圾处理场进行无害化处理。本单元规划 1 座公共厕所。</w:t>
      </w:r>
    </w:p>
    <w:p>
      <w:pPr>
        <w:pStyle w:val="2"/>
        <w:spacing w:before="160"/>
      </w:pPr>
      <w:bookmarkStart w:id="29" w:name="_bookmark29"/>
      <w:bookmarkEnd w:id="29"/>
      <w:r>
        <w:t>第九节 消防工程</w:t>
      </w:r>
    </w:p>
    <w:p>
      <w:pPr>
        <w:pStyle w:val="3"/>
        <w:spacing w:line="364" w:lineRule="auto"/>
        <w:ind w:right="118" w:firstLine="559"/>
      </w:pPr>
      <w:r>
        <w:rPr>
          <w:spacing w:val="-6"/>
        </w:rPr>
        <w:t>由单元外现状消防站和规划消防站提供消防服务。区内及周边河流、</w:t>
      </w:r>
      <w:r>
        <w:rPr>
          <w:spacing w:val="-3"/>
        </w:rPr>
        <w:t>湖泊等天然水体应设消防取水设施。在道路建设中应考虑消防车的通行 及消火栓的设置要求，并符合《建筑设计防火规范》等有关消防技术规 范的规定。</w:t>
      </w:r>
    </w:p>
    <w:p>
      <w:pPr>
        <w:pStyle w:val="2"/>
        <w:spacing w:before="154"/>
        <w:ind w:right="137"/>
      </w:pPr>
      <w:bookmarkStart w:id="30" w:name="_bookmark30"/>
      <w:bookmarkEnd w:id="30"/>
      <w:r>
        <w:t>第十节 地下综合管廊规划指引</w:t>
      </w:r>
    </w:p>
    <w:p>
      <w:pPr>
        <w:pStyle w:val="3"/>
        <w:spacing w:before="187"/>
        <w:ind w:left="678"/>
      </w:pPr>
      <w:r>
        <w:rPr>
          <w:spacing w:val="-13"/>
        </w:rPr>
        <w:t>按照《天津市综合管廊工程技术规范》</w:t>
      </w:r>
      <w:r>
        <w:t>（DB/T29-235-2016）</w:t>
      </w:r>
      <w:r>
        <w:rPr>
          <w:spacing w:val="-2"/>
        </w:rPr>
        <w:t>的要求，</w:t>
      </w:r>
    </w:p>
    <w:p>
      <w:pPr>
        <w:spacing w:after="0"/>
        <w:sectPr>
          <w:pgSz w:w="11910" w:h="16850"/>
          <w:pgMar w:top="1040" w:right="1440" w:bottom="1180" w:left="1300" w:header="0" w:footer="993" w:gutter="0"/>
        </w:sectPr>
      </w:pPr>
    </w:p>
    <w:p>
      <w:pPr>
        <w:pStyle w:val="3"/>
        <w:spacing w:before="49" w:line="364" w:lineRule="auto"/>
        <w:ind w:right="116"/>
      </w:pPr>
      <w:r>
        <w:rPr>
          <w:spacing w:val="-3"/>
        </w:rPr>
        <w:t xml:space="preserve">结合地下管线实际情况因地制宜进行地下综合管廊规划建设。地下综合 管廊应与用地布局和道路交通相协调。根据功能和管理需要设置的监控 </w:t>
      </w:r>
      <w:r>
        <w:rPr>
          <w:spacing w:val="-8"/>
        </w:rPr>
        <w:t>中心、维护服务站，可与临近公共建筑合建，建筑面积应满足使用要求。</w:t>
      </w:r>
    </w:p>
    <w:p>
      <w:pPr>
        <w:pStyle w:val="2"/>
        <w:spacing w:before="153"/>
        <w:ind w:left="2754" w:right="0"/>
        <w:jc w:val="left"/>
      </w:pPr>
      <w:bookmarkStart w:id="31" w:name="_bookmark31"/>
      <w:bookmarkEnd w:id="31"/>
      <w:r>
        <w:t>第十一节 海绵城市规划指引</w:t>
      </w:r>
    </w:p>
    <w:p>
      <w:pPr>
        <w:pStyle w:val="3"/>
        <w:spacing w:line="364" w:lineRule="auto"/>
        <w:ind w:right="367" w:firstLine="559"/>
        <w:jc w:val="both"/>
      </w:pPr>
      <w:r>
        <w:t>根据国家蓝线控制要求和相关规定规范，严格控制水域用地，可利用河湖及滨水绿化地上和地下空间建设河道泵站、闸、调蓄池等水系循环和雨水调蓄设施。</w:t>
      </w:r>
    </w:p>
    <w:p>
      <w:pPr>
        <w:pStyle w:val="3"/>
        <w:spacing w:before="0" w:line="364" w:lineRule="auto"/>
        <w:ind w:right="367" w:firstLine="559"/>
        <w:jc w:val="both"/>
      </w:pPr>
      <w:r>
        <w:t>各类公园绿地等开放空间设计实施中应根据海绵城市要求结合景观设计因地制宜的设置雨水滞蓄和渗透设施，提高雨水调蓄能力。根据区域海绵城市实施方案，可利用公共绿地与广场地下空间建设区域性雨水收集、净化与利用设施，提高地区径流总量控制、污染物削减、雨水资源化利用能力。</w:t>
      </w:r>
    </w:p>
    <w:p>
      <w:pPr>
        <w:pStyle w:val="3"/>
        <w:spacing w:before="0" w:line="364" w:lineRule="auto"/>
        <w:ind w:right="367" w:firstLine="559"/>
        <w:jc w:val="both"/>
      </w:pPr>
      <w:r>
        <w:t>有条件地区应结合泵站建设和改造增设初期雨水处理设施，减少初期雨水径流污染。所有建设项目须符合海绵城市相关要求，根据国家相关规定规范和《天津市海绵城市建设技术导则》控制径流量。</w:t>
      </w:r>
    </w:p>
    <w:p>
      <w:pPr>
        <w:pStyle w:val="3"/>
        <w:spacing w:before="3"/>
        <w:ind w:left="0"/>
        <w:rPr>
          <w:sz w:val="34"/>
        </w:rPr>
      </w:pPr>
    </w:p>
    <w:p>
      <w:pPr>
        <w:pStyle w:val="2"/>
        <w:spacing w:line="700" w:lineRule="atLeast"/>
        <w:ind w:left="3177" w:right="3316"/>
      </w:pPr>
      <w:bookmarkStart w:id="32" w:name="_bookmark32"/>
      <w:bookmarkEnd w:id="32"/>
      <w:r>
        <w:t>第八章 城市安全设施</w:t>
      </w:r>
      <w:bookmarkStart w:id="33" w:name="_bookmark33"/>
      <w:bookmarkEnd w:id="33"/>
      <w:r>
        <w:t>第一节 避难场所</w:t>
      </w:r>
    </w:p>
    <w:p>
      <w:pPr>
        <w:pStyle w:val="3"/>
        <w:spacing w:before="187" w:line="364" w:lineRule="auto"/>
        <w:ind w:right="254" w:firstLine="559"/>
        <w:jc w:val="both"/>
      </w:pPr>
      <w:r>
        <w:t>公园绿地、广场、体育场、居民活动场地以及学校的运动场等作为</w:t>
      </w:r>
      <w:r>
        <w:rPr>
          <w:spacing w:val="-7"/>
        </w:rPr>
        <w:t>避难场所，紧急应急避难场所用地指标为：</w:t>
      </w:r>
      <w:r>
        <w:rPr>
          <w:spacing w:val="-6"/>
        </w:rPr>
        <w:t>1.5～2.0</w:t>
      </w:r>
      <w:r>
        <w:rPr>
          <w:spacing w:val="-14"/>
        </w:rPr>
        <w:t xml:space="preserve"> 平方米</w:t>
      </w:r>
      <w:r>
        <w:t>/</w:t>
      </w:r>
      <w:r>
        <w:rPr>
          <w:spacing w:val="-8"/>
        </w:rPr>
        <w:t>人，最低不</w:t>
      </w:r>
      <w:r>
        <w:rPr>
          <w:spacing w:val="-24"/>
        </w:rPr>
        <w:t xml:space="preserve">低于 </w:t>
      </w:r>
      <w:r>
        <w:t>1.5</w:t>
      </w:r>
      <w:r>
        <w:rPr>
          <w:spacing w:val="-15"/>
        </w:rPr>
        <w:t xml:space="preserve"> 平方米</w:t>
      </w:r>
      <w:r>
        <w:t>/</w:t>
      </w:r>
      <w:r>
        <w:rPr>
          <w:spacing w:val="-3"/>
        </w:rPr>
        <w:t>人；固定应急避难场所用地指标为：</w:t>
      </w:r>
      <w:r>
        <w:t>2.0～3.0</w:t>
      </w:r>
      <w:r>
        <w:rPr>
          <w:spacing w:val="-15"/>
        </w:rPr>
        <w:t xml:space="preserve"> 平方米</w:t>
      </w:r>
      <w:r>
        <w:t>/ 人。</w:t>
      </w:r>
    </w:p>
    <w:p>
      <w:pPr>
        <w:pStyle w:val="2"/>
        <w:spacing w:before="155"/>
      </w:pPr>
      <w:bookmarkStart w:id="34" w:name="_bookmark34"/>
      <w:bookmarkEnd w:id="34"/>
      <w:r>
        <w:t>第二节 防洪和用水安全</w:t>
      </w:r>
    </w:p>
    <w:p>
      <w:pPr>
        <w:pStyle w:val="3"/>
        <w:ind w:left="678"/>
      </w:pPr>
      <w:r>
        <w:rPr>
          <w:spacing w:val="-19"/>
        </w:rPr>
        <w:t>规划必须满足《天津市河道管理条例》、《天津市蓄滞洪区管理条例》</w:t>
      </w:r>
    </w:p>
    <w:p>
      <w:pPr>
        <w:spacing w:after="0"/>
        <w:sectPr>
          <w:pgSz w:w="11910" w:h="16850"/>
          <w:pgMar w:top="1040" w:right="1440" w:bottom="1180" w:left="1300" w:header="0" w:footer="993" w:gutter="0"/>
        </w:sectPr>
      </w:pPr>
    </w:p>
    <w:p>
      <w:pPr>
        <w:pStyle w:val="3"/>
        <w:spacing w:before="49"/>
      </w:pPr>
      <w:r>
        <w:t>和《防洪标准》的规定，保证城市居民生命财产安全。</w:t>
      </w:r>
    </w:p>
    <w:sectPr>
      <w:pgSz w:w="11910" w:h="16850"/>
      <w:pgMar w:top="1040" w:right="1440" w:bottom="1180" w:left="1300" w:header="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4097" o:spid="_x0000_s4097" o:spt="202" type="#_x0000_t202" style="position:absolute;left:0pt;margin-left:287.85pt;margin-top:781.35pt;height:12pt;width:10pt;mso-position-horizontal-relative:page;mso-position-vertical-relative:page;z-index:-1126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 ROMAN </w:instrText>
                </w:r>
                <w:r>
                  <w:fldChar w:fldCharType="separate"/>
                </w:r>
                <w:r>
                  <w:t>II</w:t>
                </w:r>
                <w:r>
                  <w:fldChar w:fldCharType="end"/>
                </w:r>
              </w:p>
            </w:txbxContent>
          </v:textbox>
        </v:shape>
      </w:pict>
    </w:r>
    <w:r>
      <w:pict>
        <v:shape id="_x0000_s4098" o:spid="_x0000_s4098" o:spt="202" type="#_x0000_t202" style="position:absolute;left:0pt;margin-left:381pt;margin-top:805.55pt;height:10.05pt;width:175.95pt;mso-position-horizontal-relative:page;mso-position-vertical-relative:page;z-index:-11264;mso-width-relative:page;mso-height-relative:page;" filled="f" stroked="f" coordsize="21600,21600">
          <v:path/>
          <v:fill on="f" focussize="0,0"/>
          <v:stroke on="f" joinstyle="miter"/>
          <v:imagedata o:title=""/>
          <o:lock v:ext="edit"/>
          <v:textbox inset="0mm,0mm,0mm,0mm">
            <w:txbxContent>
              <w:p>
                <w:pPr>
                  <w:spacing w:before="0" w:line="201" w:lineRule="exact"/>
                  <w:ind w:left="20" w:right="0" w:firstLine="0"/>
                  <w:jc w:val="left"/>
                  <w:rPr>
                    <w:sz w:val="16"/>
                  </w:rPr>
                </w:pPr>
                <w:r>
                  <w:rPr>
                    <w:spacing w:val="-15"/>
                    <w:sz w:val="16"/>
                  </w:rPr>
                  <w:t>批准函号：武清政函【</w:t>
                </w:r>
                <w:r>
                  <w:rPr>
                    <w:spacing w:val="-6"/>
                    <w:sz w:val="16"/>
                  </w:rPr>
                  <w:t>2019</w:t>
                </w:r>
                <w:r>
                  <w:rPr>
                    <w:spacing w:val="-15"/>
                    <w:sz w:val="16"/>
                  </w:rPr>
                  <w:t>】</w:t>
                </w:r>
                <w:r>
                  <w:rPr>
                    <w:spacing w:val="-3"/>
                    <w:sz w:val="16"/>
                  </w:rPr>
                  <w:t>53</w:t>
                </w:r>
                <w:r>
                  <w:rPr>
                    <w:spacing w:val="1"/>
                    <w:sz w:val="16"/>
                  </w:rPr>
                  <w:t xml:space="preserve"> 号 </w:t>
                </w:r>
                <w:r>
                  <w:rPr>
                    <w:spacing w:val="-5"/>
                    <w:sz w:val="16"/>
                  </w:rPr>
                  <w:t>2019</w:t>
                </w:r>
                <w:r>
                  <w:rPr>
                    <w:spacing w:val="-14"/>
                    <w:sz w:val="16"/>
                  </w:rPr>
                  <w:t xml:space="preserve"> 年</w:t>
                </w:r>
                <w:r>
                  <w:rPr>
                    <w:sz w:val="16"/>
                  </w:rPr>
                  <w:t>2</w:t>
                </w:r>
                <w:r>
                  <w:rPr>
                    <w:spacing w:val="-13"/>
                    <w:sz w:val="16"/>
                  </w:rPr>
                  <w:t xml:space="preserve"> 月</w:t>
                </w:r>
                <w:r>
                  <w:rPr>
                    <w:sz w:val="16"/>
                  </w:rPr>
                  <w:t>1</w:t>
                </w:r>
                <w:r>
                  <w:rPr>
                    <w:spacing w:val="-23"/>
                    <w:sz w:val="16"/>
                  </w:rPr>
                  <w:t xml:space="preserve"> 日</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w:pict>
        <v:shape id="_x0000_s4099" o:spid="_x0000_s4099" o:spt="202" type="#_x0000_t202" style="position:absolute;left:0pt;margin-left:287.85pt;margin-top:781.35pt;height:12pt;width:13.15pt;mso-position-horizontal-relative:page;mso-position-vertical-relative:page;z-index:-1126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r>
      <w:pict>
        <v:shape id="_x0000_s4100" o:spid="_x0000_s4100" o:spt="202" type="#_x0000_t202" style="position:absolute;left:0pt;margin-left:381pt;margin-top:805.55pt;height:10.05pt;width:175.95pt;mso-position-horizontal-relative:page;mso-position-vertical-relative:page;z-index:-11264;mso-width-relative:page;mso-height-relative:page;" filled="f" stroked="f" coordsize="21600,21600">
          <v:path/>
          <v:fill on="f" focussize="0,0"/>
          <v:stroke on="f" joinstyle="miter"/>
          <v:imagedata o:title=""/>
          <o:lock v:ext="edit"/>
          <v:textbox inset="0mm,0mm,0mm,0mm">
            <w:txbxContent>
              <w:p>
                <w:pPr>
                  <w:spacing w:before="0" w:line="201" w:lineRule="exact"/>
                  <w:ind w:left="20" w:right="0" w:firstLine="0"/>
                  <w:jc w:val="left"/>
                  <w:rPr>
                    <w:sz w:val="16"/>
                  </w:rPr>
                </w:pPr>
                <w:r>
                  <w:rPr>
                    <w:spacing w:val="-15"/>
                    <w:sz w:val="16"/>
                  </w:rPr>
                  <w:t>批准函号：武清政函【</w:t>
                </w:r>
                <w:r>
                  <w:rPr>
                    <w:spacing w:val="-6"/>
                    <w:sz w:val="16"/>
                  </w:rPr>
                  <w:t>2019</w:t>
                </w:r>
                <w:r>
                  <w:rPr>
                    <w:spacing w:val="-15"/>
                    <w:sz w:val="16"/>
                  </w:rPr>
                  <w:t>】</w:t>
                </w:r>
                <w:r>
                  <w:rPr>
                    <w:spacing w:val="-3"/>
                    <w:sz w:val="16"/>
                  </w:rPr>
                  <w:t>53</w:t>
                </w:r>
                <w:r>
                  <w:rPr>
                    <w:spacing w:val="1"/>
                    <w:sz w:val="16"/>
                  </w:rPr>
                  <w:t xml:space="preserve"> 号 </w:t>
                </w:r>
                <w:r>
                  <w:rPr>
                    <w:spacing w:val="-5"/>
                    <w:sz w:val="16"/>
                  </w:rPr>
                  <w:t>2019</w:t>
                </w:r>
                <w:r>
                  <w:rPr>
                    <w:spacing w:val="-14"/>
                    <w:sz w:val="16"/>
                  </w:rPr>
                  <w:t xml:space="preserve"> 年</w:t>
                </w:r>
                <w:r>
                  <w:rPr>
                    <w:sz w:val="16"/>
                  </w:rPr>
                  <w:t>2</w:t>
                </w:r>
                <w:r>
                  <w:rPr>
                    <w:spacing w:val="-13"/>
                    <w:sz w:val="16"/>
                  </w:rPr>
                  <w:t xml:space="preserve"> 月</w:t>
                </w:r>
                <w:r>
                  <w:rPr>
                    <w:sz w:val="16"/>
                  </w:rPr>
                  <w:t>1</w:t>
                </w:r>
                <w:r>
                  <w:rPr>
                    <w:spacing w:val="-23"/>
                    <w:sz w:val="16"/>
                  </w:rPr>
                  <w:t xml:space="preserve"> 日</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5AC67062"/>
    <w:rsid w:val="6C556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right="136"/>
      <w:jc w:val="center"/>
      <w:outlineLvl w:val="1"/>
    </w:pPr>
    <w:rPr>
      <w:rFonts w:ascii="宋体" w:hAnsi="宋体" w:eastAsia="宋体" w:cs="宋体"/>
      <w:b/>
      <w:bCs/>
      <w:sz w:val="28"/>
      <w:szCs w:val="28"/>
      <w:lang w:val="zh-CN" w:eastAsia="zh-CN" w:bidi="zh-CN"/>
    </w:rPr>
  </w:style>
  <w:style w:type="character" w:default="1" w:styleId="7">
    <w:name w:val="Default Paragraph Font"/>
    <w:semiHidden/>
    <w:unhideWhenUsed/>
    <w:qFormat/>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186"/>
      <w:ind w:left="118"/>
    </w:pPr>
    <w:rPr>
      <w:rFonts w:ascii="宋体" w:hAnsi="宋体" w:eastAsia="宋体" w:cs="宋体"/>
      <w:sz w:val="28"/>
      <w:szCs w:val="28"/>
      <w:lang w:val="zh-CN" w:eastAsia="zh-CN" w:bidi="zh-CN"/>
    </w:rPr>
  </w:style>
  <w:style w:type="paragraph" w:styleId="4">
    <w:name w:val="toc 1"/>
    <w:basedOn w:val="1"/>
    <w:next w:val="1"/>
    <w:qFormat/>
    <w:uiPriority w:val="1"/>
    <w:pPr>
      <w:spacing w:before="186"/>
      <w:ind w:left="118"/>
    </w:pPr>
    <w:rPr>
      <w:rFonts w:ascii="宋体" w:hAnsi="宋体" w:eastAsia="宋体" w:cs="宋体"/>
      <w:b/>
      <w:bCs/>
      <w:sz w:val="28"/>
      <w:szCs w:val="28"/>
      <w:lang w:val="zh-CN" w:eastAsia="zh-CN" w:bidi="zh-CN"/>
    </w:rPr>
  </w:style>
  <w:style w:type="paragraph" w:styleId="5">
    <w:name w:val="toc 2"/>
    <w:basedOn w:val="1"/>
    <w:next w:val="1"/>
    <w:qFormat/>
    <w:uiPriority w:val="1"/>
    <w:pPr>
      <w:spacing w:before="186"/>
      <w:ind w:left="538"/>
    </w:pPr>
    <w:rPr>
      <w:rFonts w:ascii="宋体" w:hAnsi="宋体" w:eastAsia="宋体" w:cs="宋体"/>
      <w:sz w:val="28"/>
      <w:szCs w:val="28"/>
      <w:lang w:val="zh-CN" w:eastAsia="zh-CN" w:bidi="zh-CN"/>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pPr>
      <w:spacing w:before="166"/>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2019-08-09T02:39:00Z</dcterms:created>
  <dc:creator>宋志英</dc:creator>
  <cp:keywords>数量 规模 控制要求</cp:keywords>
  <cp:lastModifiedBy>宋立恒</cp:lastModifiedBy>
  <cp:lastPrinted>2019-08-28T07:52:51Z</cp:lastPrinted>
  <dcterms:modified xsi:type="dcterms:W3CDTF">2019-08-28T07:53:11Z</dcterms:modified>
  <dc:subject>单元层面</dc:subject>
  <dc:title>05－02控规文本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Microsoft® Word 2010</vt:lpwstr>
  </property>
  <property fmtid="{D5CDD505-2E9C-101B-9397-08002B2CF9AE}" pid="4" name="LastSaved">
    <vt:filetime>2019-08-09T00:00:00Z</vt:filetime>
  </property>
  <property fmtid="{D5CDD505-2E9C-101B-9397-08002B2CF9AE}" pid="5" name="KSOProductBuildVer">
    <vt:lpwstr>2052-11.1.0.8976</vt:lpwstr>
  </property>
</Properties>
</file>