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0" w:firstLineChars="0"/>
        <w:jc w:val="center"/>
      </w:pPr>
      <w:r>
        <w:rPr>
          <w:rFonts w:hint="eastAsia"/>
          <w:sz w:val="28"/>
          <w:szCs w:val="28"/>
        </w:rPr>
        <w:t>表1</w:t>
      </w:r>
      <w:bookmarkStart w:id="0" w:name="_GoBack"/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小赵庄村主要控制指标表</w:t>
      </w:r>
      <w:bookmarkEnd w:id="0"/>
    </w:p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4"/>
        <w:gridCol w:w="2106"/>
        <w:gridCol w:w="2186"/>
        <w:gridCol w:w="2186"/>
        <w:gridCol w:w="2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主要指标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现状</w:t>
            </w:r>
          </w:p>
        </w:tc>
        <w:tc>
          <w:tcPr>
            <w:tcW w:w="7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规划目标</w:t>
            </w:r>
          </w:p>
        </w:tc>
        <w:tc>
          <w:tcPr>
            <w:tcW w:w="8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属性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8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人口规模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sz w:val="24"/>
                <w:szCs w:val="24"/>
              </w:rPr>
            </w:pPr>
            <w:r>
              <w:rPr>
                <w:rFonts w:hint="eastAsia" w:eastAsia="等线"/>
                <w:color w:val="000000"/>
                <w:sz w:val="24"/>
                <w:szCs w:val="24"/>
              </w:rPr>
              <w:t>6</w:t>
            </w:r>
            <w:r>
              <w:rPr>
                <w:rFonts w:eastAsia="等线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sz w:val="24"/>
                <w:szCs w:val="24"/>
              </w:rPr>
            </w:pPr>
            <w:r>
              <w:rPr>
                <w:rFonts w:hint="eastAsia" w:eastAsia="等线"/>
                <w:color w:val="000000"/>
                <w:sz w:val="24"/>
                <w:szCs w:val="24"/>
              </w:rPr>
              <w:t>6</w:t>
            </w:r>
            <w:r>
              <w:rPr>
                <w:rFonts w:eastAsia="等线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8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人均建设用地面积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平方米/人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等线"/>
                <w:color w:val="000000"/>
                <w:sz w:val="24"/>
                <w:szCs w:val="24"/>
              </w:rPr>
              <w:t>314.95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sz w:val="24"/>
                <w:szCs w:val="24"/>
              </w:rPr>
              <w:t>281.62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8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村庄建设用地规模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公顷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19.21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sz w:val="24"/>
                <w:szCs w:val="24"/>
              </w:rPr>
              <w:t>19.46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约束性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8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户均宅基地面积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平方米</w:t>
            </w: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户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sz w:val="24"/>
                <w:szCs w:val="24"/>
              </w:rPr>
              <w:t xml:space="preserve">400.00 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等线"/>
                <w:color w:val="000000"/>
                <w:sz w:val="24"/>
                <w:szCs w:val="24"/>
              </w:rPr>
              <w:t>200</w:t>
            </w:r>
            <w:r>
              <w:rPr>
                <w:rFonts w:eastAsia="等线"/>
                <w:color w:val="000000"/>
                <w:sz w:val="24"/>
                <w:szCs w:val="24"/>
              </w:rPr>
              <w:t xml:space="preserve">.00 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8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闲置建设用地盘活利用率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8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公共服务设施用地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sz w:val="24"/>
                <w:szCs w:val="24"/>
              </w:rPr>
              <w:t>351.8</w:t>
            </w:r>
            <w:r>
              <w:rPr>
                <w:rFonts w:hint="eastAsia" w:eastAsia="等线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等线"/>
                <w:color w:val="000000"/>
                <w:sz w:val="24"/>
                <w:szCs w:val="24"/>
              </w:rPr>
              <w:t>2900.77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8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基础设施用地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等线"/>
                <w:color w:val="000000"/>
                <w:sz w:val="24"/>
                <w:szCs w:val="24"/>
              </w:rPr>
              <w:t>19892.03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18036.34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8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耕地保有量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38.25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等线"/>
                <w:color w:val="000000"/>
                <w:sz w:val="24"/>
                <w:szCs w:val="24"/>
              </w:rPr>
              <w:t>153.00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约束性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8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永久基本农田保护面积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129.6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129.6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约束性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8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村域林木覆盖率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等线"/>
                <w:color w:val="000000"/>
                <w:kern w:val="0"/>
                <w:sz w:val="24"/>
                <w:szCs w:val="24"/>
              </w:rPr>
              <w:t>35.61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sz w:val="24"/>
                <w:szCs w:val="24"/>
              </w:rPr>
              <w:t>26.7</w:t>
            </w:r>
            <w:r>
              <w:rPr>
                <w:rFonts w:hint="eastAsia" w:eastAsia="等线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8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道路硬化率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8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生活垃圾收集率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8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农村卫生厕所普及率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8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生活污水处理设施覆盖率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</w:tbl>
    <w:p>
      <w:pPr>
        <w:widowControl/>
        <w:ind w:firstLine="0" w:firstLineChars="0"/>
        <w:jc w:val="left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MTZhZjE2MzVmOTIwYmMyOWEyZjRiNjU3MzUyYTEifQ=="/>
  </w:docVars>
  <w:rsids>
    <w:rsidRoot w:val="00E35447"/>
    <w:rsid w:val="0000277E"/>
    <w:rsid w:val="000F1D1F"/>
    <w:rsid w:val="00117B74"/>
    <w:rsid w:val="00164176"/>
    <w:rsid w:val="00181117"/>
    <w:rsid w:val="001F457A"/>
    <w:rsid w:val="002C3C13"/>
    <w:rsid w:val="002C44E7"/>
    <w:rsid w:val="004F206F"/>
    <w:rsid w:val="0050177F"/>
    <w:rsid w:val="005C370D"/>
    <w:rsid w:val="006627FC"/>
    <w:rsid w:val="00717D10"/>
    <w:rsid w:val="007547A1"/>
    <w:rsid w:val="007676C3"/>
    <w:rsid w:val="007B2CBE"/>
    <w:rsid w:val="007F419C"/>
    <w:rsid w:val="008C7230"/>
    <w:rsid w:val="009B27CD"/>
    <w:rsid w:val="009C1F45"/>
    <w:rsid w:val="00A31127"/>
    <w:rsid w:val="00B36536"/>
    <w:rsid w:val="00B96D12"/>
    <w:rsid w:val="00BB6FA3"/>
    <w:rsid w:val="00C37B52"/>
    <w:rsid w:val="00D267A4"/>
    <w:rsid w:val="00D45621"/>
    <w:rsid w:val="00D87907"/>
    <w:rsid w:val="00E35447"/>
    <w:rsid w:val="00E70013"/>
    <w:rsid w:val="00F30E5F"/>
    <w:rsid w:val="00F32934"/>
    <w:rsid w:val="00F474AA"/>
    <w:rsid w:val="6892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ind w:firstLine="643"/>
      <w:jc w:val="left"/>
      <w:outlineLvl w:val="0"/>
    </w:pPr>
    <w:rPr>
      <w:rFonts w:eastAsia="黑体"/>
      <w:b/>
      <w:bCs/>
    </w:rPr>
  </w:style>
  <w:style w:type="paragraph" w:styleId="3">
    <w:name w:val="heading 2"/>
    <w:basedOn w:val="1"/>
    <w:next w:val="1"/>
    <w:link w:val="19"/>
    <w:unhideWhenUsed/>
    <w:qFormat/>
    <w:uiPriority w:val="9"/>
    <w:pPr>
      <w:jc w:val="left"/>
      <w:outlineLvl w:val="1"/>
    </w:pPr>
    <w:rPr>
      <w:rFonts w:ascii="楷体_GB2312" w:eastAsia="楷体_GB2312"/>
    </w:rPr>
  </w:style>
  <w:style w:type="paragraph" w:styleId="4">
    <w:name w:val="heading 3"/>
    <w:basedOn w:val="1"/>
    <w:next w:val="1"/>
    <w:link w:val="20"/>
    <w:unhideWhenUsed/>
    <w:qFormat/>
    <w:uiPriority w:val="9"/>
    <w:pPr>
      <w:jc w:val="left"/>
      <w:outlineLvl w:val="2"/>
    </w:pPr>
    <w:rPr>
      <w:b/>
      <w:bCs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4"/>
    <w:unhideWhenUsed/>
    <w:uiPriority w:val="99"/>
    <w:pPr>
      <w:jc w:val="left"/>
    </w:pPr>
  </w:style>
  <w:style w:type="paragraph" w:styleId="6">
    <w:name w:val="toc 3"/>
    <w:basedOn w:val="1"/>
    <w:next w:val="1"/>
    <w:unhideWhenUsed/>
    <w:uiPriority w:val="39"/>
    <w:pPr>
      <w:widowControl/>
      <w:spacing w:after="100" w:line="259" w:lineRule="auto"/>
      <w:ind w:left="440" w:firstLine="0" w:firstLineChars="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7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uiPriority w:val="39"/>
    <w:pPr>
      <w:widowControl/>
      <w:spacing w:after="100" w:line="259" w:lineRule="auto"/>
      <w:ind w:firstLine="0" w:firstLineChars="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1">
    <w:name w:val="toc 2"/>
    <w:basedOn w:val="1"/>
    <w:next w:val="1"/>
    <w:unhideWhenUsed/>
    <w:uiPriority w:val="39"/>
    <w:pPr>
      <w:widowControl/>
      <w:spacing w:after="100" w:line="259" w:lineRule="auto"/>
      <w:ind w:left="220" w:firstLine="0" w:firstLineChars="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annotation subject"/>
    <w:basedOn w:val="5"/>
    <w:next w:val="5"/>
    <w:link w:val="25"/>
    <w:semiHidden/>
    <w:unhideWhenUsed/>
    <w:uiPriority w:val="99"/>
    <w:rPr>
      <w:b/>
      <w:bCs/>
    </w:rPr>
  </w:style>
  <w:style w:type="character" w:styleId="16">
    <w:name w:val="Hyperlink"/>
    <w:basedOn w:val="1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5"/>
    <w:semiHidden/>
    <w:unhideWhenUsed/>
    <w:uiPriority w:val="99"/>
    <w:rPr>
      <w:sz w:val="21"/>
      <w:szCs w:val="21"/>
    </w:rPr>
  </w:style>
  <w:style w:type="character" w:customStyle="1" w:styleId="18">
    <w:name w:val="标题 1 字符"/>
    <w:basedOn w:val="15"/>
    <w:link w:val="2"/>
    <w:uiPriority w:val="9"/>
    <w:rPr>
      <w:rFonts w:ascii="Times New Roman" w:hAnsi="Times New Roman" w:eastAsia="黑体" w:cs="Times New Roman"/>
      <w:b/>
      <w:bCs/>
      <w:sz w:val="32"/>
      <w:szCs w:val="32"/>
    </w:rPr>
  </w:style>
  <w:style w:type="character" w:customStyle="1" w:styleId="19">
    <w:name w:val="标题 2 字符"/>
    <w:basedOn w:val="15"/>
    <w:link w:val="3"/>
    <w:uiPriority w:val="9"/>
    <w:rPr>
      <w:rFonts w:ascii="楷体_GB2312" w:hAnsi="Times New Roman" w:eastAsia="楷体_GB2312" w:cs="Times New Roman"/>
      <w:sz w:val="32"/>
      <w:szCs w:val="32"/>
    </w:rPr>
  </w:style>
  <w:style w:type="character" w:customStyle="1" w:styleId="20">
    <w:name w:val="标题 3 字符"/>
    <w:basedOn w:val="15"/>
    <w:link w:val="4"/>
    <w:uiPriority w:val="9"/>
    <w:rPr>
      <w:rFonts w:ascii="Times New Roman" w:hAnsi="Times New Roman" w:eastAsia="仿宋_GB2312" w:cs="Times New Roman"/>
      <w:b/>
      <w:bCs/>
      <w:sz w:val="32"/>
      <w:szCs w:val="32"/>
    </w:rPr>
  </w:style>
  <w:style w:type="character" w:customStyle="1" w:styleId="21">
    <w:name w:val="页眉 字符"/>
    <w:basedOn w:val="15"/>
    <w:link w:val="9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2">
    <w:name w:val="页脚 字符"/>
    <w:basedOn w:val="15"/>
    <w:link w:val="8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3">
    <w:name w:val="批注框文本 字符"/>
    <w:basedOn w:val="15"/>
    <w:link w:val="7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4">
    <w:name w:val="批注文字 字符"/>
    <w:basedOn w:val="15"/>
    <w:link w:val="5"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25">
    <w:name w:val="批注主题 字符"/>
    <w:basedOn w:val="24"/>
    <w:link w:val="13"/>
    <w:semiHidden/>
    <w:uiPriority w:val="99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6">
    <w:name w:val="TOC Heading"/>
    <w:basedOn w:val="2"/>
    <w:next w:val="1"/>
    <w:unhideWhenUsed/>
    <w:qFormat/>
    <w:uiPriority w:val="39"/>
    <w:pPr>
      <w:keepNext/>
      <w:keepLines/>
      <w:widowControl/>
      <w:spacing w:before="240" w:line="259" w:lineRule="auto"/>
      <w:ind w:firstLine="0" w:firstLineChars="0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1363</Words>
  <Characters>2108</Characters>
  <Lines>19</Lines>
  <Paragraphs>5</Paragraphs>
  <TotalTime>25</TotalTime>
  <ScaleCrop>false</ScaleCrop>
  <LinksUpToDate>false</LinksUpToDate>
  <CharactersWithSpaces>2122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2020-11-16T10:42:00Z</dcterms:created>
  <dc:creator>Lu Yao</dc:creator>
  <cp:lastModifiedBy>天使司令</cp:lastModifiedBy>
  <dcterms:modified xsi:type="dcterms:W3CDTF">2022-08-11T09:00:13Z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85EE3CC1E8454CF09F19165E6AC74312</vt:lpwstr>
  </property>
</Properties>
</file>