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7"/>
        <w:spacing w:before="0" w:line="588" w:lineRule="exact"/>
        <w:ind w:left="0" w:right="0" w:firstLine="0"/>
        <w:jc w:val="center"/>
        <w:rPr>
          <w:rFonts w:hint="default" w:ascii="Times New Roman" w:hAnsi="Times New Roman" w:eastAsia="方正小标宋简体" w:cs="Times New Roman"/>
          <w:spacing w:val="-2"/>
          <w:sz w:val="44"/>
          <w:szCs w:val="44"/>
          <w:lang w:eastAsia="zh-CN"/>
        </w:rPr>
      </w:pPr>
      <w:r>
        <w:rPr>
          <w:rFonts w:hint="default" w:ascii="Times New Roman" w:hAnsi="Times New Roman" w:eastAsia="方正小标宋简体" w:cs="Times New Roman"/>
          <w:spacing w:val="-2"/>
          <w:sz w:val="44"/>
          <w:szCs w:val="44"/>
          <w:lang w:eastAsia="zh-CN"/>
        </w:rPr>
        <w:t>天津市西青区辛口镇当城村村庄规划（202</w:t>
      </w:r>
      <w:r>
        <w:rPr>
          <w:rFonts w:hint="default" w:ascii="Times New Roman" w:hAnsi="Times New Roman" w:eastAsia="方正小标宋简体" w:cs="Times New Roman"/>
          <w:spacing w:val="-2"/>
          <w:sz w:val="44"/>
          <w:szCs w:val="44"/>
          <w:lang w:eastAsia="zh-CN"/>
        </w:rPr>
        <w:t>3</w:t>
      </w:r>
      <w:r>
        <w:rPr>
          <w:rFonts w:hint="default" w:ascii="Times New Roman" w:hAnsi="Times New Roman" w:eastAsia="方正小标宋简体" w:cs="Times New Roman"/>
          <w:spacing w:val="-2"/>
          <w:sz w:val="44"/>
          <w:szCs w:val="44"/>
          <w:lang w:eastAsia="zh-CN"/>
        </w:rPr>
        <w:t>-2035年）草案</w:t>
      </w:r>
    </w:p>
    <w:p>
      <w:pPr>
        <w:pStyle w:val="4"/>
        <w:spacing w:line="588" w:lineRule="exact"/>
        <w:ind w:left="0" w:right="0" w:firstLine="664" w:firstLineChars="200"/>
        <w:jc w:val="both"/>
        <w:rPr>
          <w:rFonts w:hint="default" w:ascii="Times New Roman" w:hAnsi="Times New Roman" w:eastAsia="方正仿宋简体" w:cs="Times New Roman"/>
          <w:spacing w:val="-4"/>
          <w:sz w:val="34"/>
          <w:szCs w:val="34"/>
          <w:lang w:eastAsia="zh-CN"/>
        </w:rPr>
      </w:pPr>
    </w:p>
    <w:p>
      <w:pPr>
        <w:pStyle w:val="4"/>
        <w:spacing w:line="540" w:lineRule="exact"/>
        <w:ind w:left="0" w:right="0" w:firstLine="624" w:firstLineChars="200"/>
        <w:jc w:val="both"/>
        <w:rPr>
          <w:rFonts w:hint="default" w:ascii="Times New Roman" w:hAnsi="Times New Roman" w:eastAsia="仿宋_GB2312" w:cs="Times New Roman"/>
          <w:spacing w:val="-4"/>
          <w:sz w:val="32"/>
          <w:szCs w:val="32"/>
          <w:lang w:eastAsia="zh-CN"/>
        </w:rPr>
      </w:pPr>
      <w:r>
        <w:rPr>
          <w:rFonts w:hint="default" w:ascii="Times New Roman" w:hAnsi="Times New Roman" w:eastAsia="仿宋_GB2312" w:cs="Times New Roman"/>
          <w:spacing w:val="-4"/>
          <w:sz w:val="32"/>
          <w:szCs w:val="32"/>
          <w:lang w:eastAsia="zh-CN"/>
        </w:rPr>
        <w:t>为深入实施乡村振兴战略，辛口镇政府深刻领会习近平总书记关于村庄规划工作的重要指示精神，积极运用浙江“千万工程”经验，</w:t>
      </w:r>
      <w:r>
        <w:rPr>
          <w:rFonts w:hint="eastAsia" w:ascii="Times New Roman" w:hAnsi="Times New Roman" w:eastAsia="仿宋_GB2312" w:cs="Times New Roman"/>
          <w:spacing w:val="-4"/>
          <w:sz w:val="32"/>
          <w:szCs w:val="32"/>
          <w:lang w:eastAsia="zh-CN"/>
        </w:rPr>
        <w:t>我镇</w:t>
      </w:r>
      <w:r>
        <w:rPr>
          <w:rFonts w:hint="default" w:ascii="Times New Roman" w:hAnsi="Times New Roman" w:eastAsia="仿宋_GB2312" w:cs="Times New Roman"/>
          <w:spacing w:val="-4"/>
          <w:sz w:val="32"/>
          <w:szCs w:val="32"/>
          <w:lang w:eastAsia="zh-CN"/>
        </w:rPr>
        <w:t>组织开展了当城村“多规合一”的实用性村庄规划编制工作。</w:t>
      </w:r>
    </w:p>
    <w:p>
      <w:pPr>
        <w:pStyle w:val="2"/>
        <w:spacing w:line="540" w:lineRule="exact"/>
        <w:ind w:left="0" w:firstLine="608" w:firstLineChars="200"/>
        <w:jc w:val="both"/>
        <w:rPr>
          <w:rFonts w:hint="default" w:ascii="Times New Roman" w:hAnsi="Times New Roman" w:eastAsia="黑体" w:cs="Times New Roman"/>
          <w:b w:val="0"/>
          <w:bCs w:val="0"/>
          <w:w w:val="95"/>
          <w:sz w:val="32"/>
          <w:szCs w:val="32"/>
          <w:lang w:eastAsia="zh-CN"/>
        </w:rPr>
      </w:pPr>
      <w:r>
        <w:rPr>
          <w:rFonts w:hint="default" w:ascii="Times New Roman" w:hAnsi="Times New Roman" w:eastAsia="黑体" w:cs="Times New Roman"/>
          <w:b w:val="0"/>
          <w:bCs w:val="0"/>
          <w:w w:val="95"/>
          <w:sz w:val="32"/>
          <w:szCs w:val="32"/>
          <w:lang w:eastAsia="zh-CN"/>
        </w:rPr>
        <w:t>一、项目背景</w:t>
      </w:r>
    </w:p>
    <w:p>
      <w:pPr>
        <w:pStyle w:val="4"/>
        <w:spacing w:line="540" w:lineRule="exact"/>
        <w:ind w:left="0" w:right="0" w:firstLine="624" w:firstLineChars="200"/>
        <w:jc w:val="both"/>
        <w:rPr>
          <w:rFonts w:hint="default" w:ascii="Times New Roman" w:hAnsi="Times New Roman" w:eastAsia="仿宋_GB2312" w:cs="Times New Roman"/>
          <w:spacing w:val="-4"/>
          <w:sz w:val="32"/>
          <w:szCs w:val="32"/>
          <w:lang w:eastAsia="zh-CN"/>
        </w:rPr>
      </w:pPr>
      <w:r>
        <w:rPr>
          <w:rFonts w:hint="default" w:ascii="Times New Roman" w:hAnsi="Times New Roman" w:eastAsia="仿宋_GB2312" w:cs="Times New Roman"/>
          <w:spacing w:val="-4"/>
          <w:sz w:val="32"/>
          <w:szCs w:val="32"/>
          <w:lang w:eastAsia="zh-CN"/>
        </w:rPr>
        <w:t>当城村位于辛口镇西侧，北接杨柳青镇，西侧紧邻河北省霸州市，南侧紧邻水高庄村，东连辛口镇镇区，交通条件便利。当城村农林资源丰富，文化底蕴深厚，以种植小麦、玉米及沙窝萝卜等作物为主，逐步发展生态旅游观光产业。本次规划旨在推进当城村农文旅产业融合发展。</w:t>
      </w:r>
    </w:p>
    <w:p>
      <w:pPr>
        <w:pStyle w:val="2"/>
        <w:spacing w:line="540" w:lineRule="exact"/>
        <w:ind w:left="0" w:firstLine="608" w:firstLineChars="200"/>
        <w:jc w:val="both"/>
        <w:rPr>
          <w:rFonts w:hint="default" w:ascii="Times New Roman" w:hAnsi="Times New Roman" w:eastAsia="黑体" w:cs="Times New Roman"/>
          <w:b w:val="0"/>
          <w:bCs w:val="0"/>
          <w:w w:val="95"/>
          <w:sz w:val="32"/>
          <w:szCs w:val="32"/>
          <w:lang w:eastAsia="zh-CN"/>
        </w:rPr>
      </w:pPr>
      <w:r>
        <w:rPr>
          <w:rFonts w:hint="default" w:ascii="Times New Roman" w:hAnsi="Times New Roman" w:eastAsia="黑体" w:cs="Times New Roman"/>
          <w:b w:val="0"/>
          <w:bCs w:val="0"/>
          <w:w w:val="95"/>
          <w:sz w:val="32"/>
          <w:szCs w:val="32"/>
          <w:lang w:eastAsia="zh-CN"/>
        </w:rPr>
        <w:t>二、编制范围及期限</w:t>
      </w:r>
    </w:p>
    <w:p>
      <w:pPr>
        <w:pStyle w:val="4"/>
        <w:spacing w:line="540" w:lineRule="exact"/>
        <w:ind w:left="0" w:right="0" w:firstLine="624" w:firstLineChars="200"/>
        <w:jc w:val="both"/>
        <w:rPr>
          <w:rFonts w:hint="default" w:ascii="Times New Roman" w:hAnsi="Times New Roman" w:eastAsia="仿宋_GB2312" w:cs="Times New Roman"/>
          <w:spacing w:val="-4"/>
          <w:sz w:val="32"/>
          <w:szCs w:val="32"/>
          <w:lang w:eastAsia="zh-CN"/>
        </w:rPr>
      </w:pPr>
      <w:r>
        <w:rPr>
          <w:rFonts w:hint="default" w:ascii="Times New Roman" w:hAnsi="Times New Roman" w:eastAsia="仿宋_GB2312" w:cs="Times New Roman"/>
          <w:spacing w:val="-4"/>
          <w:sz w:val="32"/>
          <w:szCs w:val="32"/>
          <w:lang w:eastAsia="zh-CN"/>
        </w:rPr>
        <w:t>本次规划以第三次全国国土调查数据中当城村行政范围为规范范围，总面积约1706.87公顷。其中，城镇开发边界内用地为359.27公顷，城镇开发边界外用地为1347.60公顷。</w:t>
      </w:r>
    </w:p>
    <w:p>
      <w:pPr>
        <w:pStyle w:val="2"/>
        <w:spacing w:line="540" w:lineRule="exact"/>
        <w:ind w:left="0" w:firstLine="608" w:firstLineChars="200"/>
        <w:jc w:val="both"/>
        <w:rPr>
          <w:rFonts w:hint="default" w:ascii="Times New Roman" w:hAnsi="Times New Roman" w:eastAsia="黑体" w:cs="Times New Roman"/>
          <w:b w:val="0"/>
          <w:bCs w:val="0"/>
          <w:w w:val="95"/>
          <w:sz w:val="32"/>
          <w:szCs w:val="32"/>
          <w:lang w:eastAsia="zh-CN"/>
        </w:rPr>
      </w:pPr>
      <w:r>
        <w:rPr>
          <w:rFonts w:hint="default" w:ascii="Times New Roman" w:hAnsi="Times New Roman" w:eastAsia="黑体" w:cs="Times New Roman"/>
          <w:b w:val="0"/>
          <w:bCs w:val="0"/>
          <w:w w:val="95"/>
          <w:sz w:val="32"/>
          <w:szCs w:val="32"/>
          <w:lang w:eastAsia="zh-CN"/>
        </w:rPr>
        <w:t>三、规划依据</w:t>
      </w:r>
    </w:p>
    <w:p>
      <w:pPr>
        <w:pStyle w:val="4"/>
        <w:spacing w:line="540" w:lineRule="exact"/>
        <w:ind w:left="0" w:right="0" w:firstLine="664" w:firstLineChars="200"/>
        <w:jc w:val="both"/>
        <w:rPr>
          <w:rFonts w:hint="default" w:ascii="Times New Roman" w:hAnsi="Times New Roman" w:eastAsia="仿宋_GB2312" w:cs="Times New Roman"/>
          <w:spacing w:val="-4"/>
          <w:sz w:val="34"/>
          <w:szCs w:val="34"/>
          <w:lang w:eastAsia="zh-CN"/>
        </w:rPr>
      </w:pPr>
      <w:r>
        <w:rPr>
          <w:rFonts w:hint="default" w:ascii="Times New Roman" w:hAnsi="Times New Roman" w:eastAsia="仿宋_GB2312" w:cs="Times New Roman"/>
          <w:spacing w:val="-4"/>
          <w:sz w:val="34"/>
          <w:szCs w:val="34"/>
          <w:lang w:eastAsia="zh-CN"/>
        </w:rPr>
        <w:t>1、《中华人民共和国土地管理法》（2019年修正）；</w:t>
      </w:r>
    </w:p>
    <w:p>
      <w:pPr>
        <w:pStyle w:val="4"/>
        <w:spacing w:line="540" w:lineRule="exact"/>
        <w:ind w:left="0" w:right="0" w:firstLine="664" w:firstLineChars="200"/>
        <w:jc w:val="both"/>
        <w:rPr>
          <w:rFonts w:hint="default" w:ascii="Times New Roman" w:hAnsi="Times New Roman" w:eastAsia="仿宋_GB2312" w:cs="Times New Roman"/>
          <w:spacing w:val="-4"/>
          <w:sz w:val="34"/>
          <w:szCs w:val="34"/>
          <w:lang w:eastAsia="zh-CN"/>
        </w:rPr>
      </w:pPr>
      <w:r>
        <w:rPr>
          <w:rFonts w:hint="default" w:ascii="Times New Roman" w:hAnsi="Times New Roman" w:eastAsia="仿宋_GB2312" w:cs="Times New Roman"/>
          <w:spacing w:val="-4"/>
          <w:sz w:val="34"/>
          <w:szCs w:val="34"/>
          <w:lang w:eastAsia="zh-CN"/>
        </w:rPr>
        <w:t>2、《中华人民共和国城乡规划法》（2019修正）；</w:t>
      </w:r>
    </w:p>
    <w:p>
      <w:pPr>
        <w:pStyle w:val="4"/>
        <w:spacing w:line="540" w:lineRule="exact"/>
        <w:ind w:left="0" w:right="0" w:firstLine="664" w:firstLineChars="200"/>
        <w:jc w:val="both"/>
        <w:rPr>
          <w:rFonts w:hint="default" w:ascii="Times New Roman" w:hAnsi="Times New Roman" w:eastAsia="仿宋_GB2312" w:cs="Times New Roman"/>
          <w:spacing w:val="-4"/>
          <w:sz w:val="34"/>
          <w:szCs w:val="34"/>
          <w:lang w:eastAsia="zh-CN"/>
        </w:rPr>
      </w:pPr>
      <w:r>
        <w:rPr>
          <w:rFonts w:hint="default" w:ascii="Times New Roman" w:hAnsi="Times New Roman" w:eastAsia="仿宋_GB2312" w:cs="Times New Roman"/>
          <w:spacing w:val="-4"/>
          <w:sz w:val="34"/>
          <w:szCs w:val="34"/>
          <w:lang w:eastAsia="zh-CN"/>
        </w:rPr>
        <w:t>3、《基本农田保护条例》（2011年修订）；</w:t>
      </w:r>
    </w:p>
    <w:p>
      <w:pPr>
        <w:pStyle w:val="4"/>
        <w:spacing w:line="540" w:lineRule="exact"/>
        <w:ind w:left="0" w:right="0" w:firstLine="664" w:firstLineChars="200"/>
        <w:jc w:val="both"/>
        <w:rPr>
          <w:rFonts w:hint="default" w:ascii="Times New Roman" w:hAnsi="Times New Roman" w:eastAsia="仿宋_GB2312" w:cs="Times New Roman"/>
          <w:spacing w:val="-4"/>
          <w:sz w:val="34"/>
          <w:szCs w:val="34"/>
          <w:lang w:eastAsia="zh-CN"/>
        </w:rPr>
      </w:pPr>
      <w:r>
        <w:rPr>
          <w:rFonts w:hint="default" w:ascii="Times New Roman" w:hAnsi="Times New Roman" w:eastAsia="仿宋_GB2312" w:cs="Times New Roman"/>
          <w:spacing w:val="-4"/>
          <w:sz w:val="34"/>
          <w:szCs w:val="34"/>
          <w:lang w:eastAsia="zh-CN"/>
        </w:rPr>
        <w:t>4、《地质灾害防治条例》（国务院令第394号）；</w:t>
      </w:r>
    </w:p>
    <w:p>
      <w:pPr>
        <w:pStyle w:val="4"/>
        <w:spacing w:line="540" w:lineRule="exact"/>
        <w:ind w:left="0" w:right="0" w:firstLine="664" w:firstLineChars="200"/>
        <w:jc w:val="both"/>
        <w:rPr>
          <w:rFonts w:hint="default" w:ascii="Times New Roman" w:hAnsi="Times New Roman" w:eastAsia="仿宋_GB2312" w:cs="Times New Roman"/>
          <w:spacing w:val="-4"/>
          <w:sz w:val="34"/>
          <w:szCs w:val="34"/>
          <w:lang w:eastAsia="zh-CN"/>
        </w:rPr>
      </w:pPr>
      <w:r>
        <w:rPr>
          <w:rFonts w:hint="default" w:ascii="Times New Roman" w:hAnsi="Times New Roman" w:eastAsia="仿宋_GB2312" w:cs="Times New Roman"/>
          <w:spacing w:val="-4"/>
          <w:sz w:val="34"/>
          <w:szCs w:val="34"/>
          <w:lang w:eastAsia="zh-CN"/>
        </w:rPr>
        <w:t>5、《中共中央国务院关于实施乡村振兴战略的意见》（中发〔2018〕1号）；</w:t>
      </w:r>
    </w:p>
    <w:p>
      <w:pPr>
        <w:pStyle w:val="4"/>
        <w:spacing w:line="540" w:lineRule="exact"/>
        <w:ind w:left="0" w:right="0" w:firstLine="664" w:firstLineChars="200"/>
        <w:jc w:val="both"/>
        <w:rPr>
          <w:rFonts w:hint="default" w:ascii="Times New Roman" w:hAnsi="Times New Roman" w:eastAsia="仿宋_GB2312" w:cs="Times New Roman"/>
          <w:spacing w:val="-4"/>
          <w:sz w:val="34"/>
          <w:szCs w:val="34"/>
          <w:lang w:eastAsia="zh-CN"/>
        </w:rPr>
      </w:pPr>
      <w:r>
        <w:rPr>
          <w:rFonts w:hint="default" w:ascii="Times New Roman" w:hAnsi="Times New Roman" w:eastAsia="仿宋_GB2312" w:cs="Times New Roman"/>
          <w:spacing w:val="-4"/>
          <w:sz w:val="34"/>
          <w:szCs w:val="34"/>
          <w:lang w:eastAsia="zh-CN"/>
        </w:rPr>
        <w:t>6、《自然资源部办公厅关于加强村庄规划促进乡村振兴的通知》（自然资办发〔2019〕35号）；</w:t>
      </w:r>
    </w:p>
    <w:p>
      <w:pPr>
        <w:pStyle w:val="4"/>
        <w:spacing w:line="540" w:lineRule="exact"/>
        <w:ind w:left="0" w:right="0" w:firstLine="664" w:firstLineChars="200"/>
        <w:jc w:val="both"/>
        <w:rPr>
          <w:rFonts w:hint="default" w:ascii="Times New Roman" w:hAnsi="Times New Roman" w:eastAsia="仿宋_GB2312" w:cs="Times New Roman"/>
          <w:spacing w:val="-4"/>
          <w:sz w:val="34"/>
          <w:szCs w:val="34"/>
          <w:lang w:eastAsia="zh-CN"/>
        </w:rPr>
      </w:pPr>
      <w:r>
        <w:rPr>
          <w:rFonts w:hint="default" w:ascii="Times New Roman" w:hAnsi="Times New Roman" w:eastAsia="仿宋_GB2312" w:cs="Times New Roman"/>
          <w:spacing w:val="-4"/>
          <w:sz w:val="34"/>
          <w:szCs w:val="34"/>
          <w:lang w:eastAsia="zh-CN"/>
        </w:rPr>
        <w:t>7、《自然资源部办公厅关于天津等市（自治区）启用“三区三线”划定成果作为报批建设项目用地用海依据的函》（自然资办函〔2022〕2254号）；</w:t>
      </w:r>
    </w:p>
    <w:p>
      <w:pPr>
        <w:pStyle w:val="4"/>
        <w:spacing w:line="540" w:lineRule="exact"/>
        <w:ind w:left="0" w:right="0" w:firstLine="664" w:firstLineChars="200"/>
        <w:jc w:val="both"/>
        <w:rPr>
          <w:rFonts w:hint="default" w:ascii="Times New Roman" w:hAnsi="Times New Roman" w:eastAsia="仿宋_GB2312" w:cs="Times New Roman"/>
          <w:spacing w:val="-4"/>
          <w:sz w:val="34"/>
          <w:szCs w:val="34"/>
          <w:lang w:eastAsia="zh-CN"/>
        </w:rPr>
      </w:pPr>
      <w:r>
        <w:rPr>
          <w:rFonts w:hint="default" w:ascii="Times New Roman" w:hAnsi="Times New Roman" w:eastAsia="仿宋_GB2312" w:cs="Times New Roman"/>
          <w:spacing w:val="-4"/>
          <w:sz w:val="34"/>
          <w:szCs w:val="34"/>
          <w:lang w:eastAsia="zh-CN"/>
        </w:rPr>
        <w:t>8、天津市永久基本农田核实处置后数据（西青区）</w:t>
      </w:r>
    </w:p>
    <w:p>
      <w:pPr>
        <w:pStyle w:val="4"/>
        <w:spacing w:line="540" w:lineRule="exact"/>
        <w:ind w:left="0" w:right="0" w:firstLine="664" w:firstLineChars="200"/>
        <w:jc w:val="both"/>
        <w:rPr>
          <w:rFonts w:hint="default" w:ascii="Times New Roman" w:hAnsi="Times New Roman" w:eastAsia="仿宋_GB2312" w:cs="Times New Roman"/>
          <w:spacing w:val="-4"/>
          <w:sz w:val="34"/>
          <w:szCs w:val="34"/>
          <w:lang w:eastAsia="zh-CN"/>
        </w:rPr>
      </w:pPr>
      <w:r>
        <w:rPr>
          <w:rFonts w:hint="default" w:ascii="Times New Roman" w:hAnsi="Times New Roman" w:eastAsia="仿宋_GB2312" w:cs="Times New Roman"/>
          <w:spacing w:val="-4"/>
          <w:sz w:val="34"/>
          <w:szCs w:val="34"/>
          <w:lang w:eastAsia="zh-CN"/>
        </w:rPr>
        <w:t>9、《天津市土地管理条例》（2021年修订）；</w:t>
      </w:r>
    </w:p>
    <w:p>
      <w:pPr>
        <w:pStyle w:val="4"/>
        <w:spacing w:line="540" w:lineRule="exact"/>
        <w:ind w:left="0" w:right="0" w:firstLine="664" w:firstLineChars="200"/>
        <w:jc w:val="both"/>
        <w:rPr>
          <w:rFonts w:hint="default" w:ascii="Times New Roman" w:hAnsi="Times New Roman" w:eastAsia="仿宋_GB2312" w:cs="Times New Roman"/>
          <w:spacing w:val="-4"/>
          <w:sz w:val="34"/>
          <w:szCs w:val="34"/>
          <w:lang w:eastAsia="zh-CN"/>
        </w:rPr>
      </w:pPr>
      <w:r>
        <w:rPr>
          <w:rFonts w:hint="default" w:ascii="Times New Roman" w:hAnsi="Times New Roman" w:eastAsia="仿宋_GB2312" w:cs="Times New Roman"/>
          <w:spacing w:val="-4"/>
          <w:sz w:val="34"/>
          <w:szCs w:val="34"/>
          <w:lang w:eastAsia="zh-CN"/>
        </w:rPr>
        <w:t>10、《天津市河道管理条例》（2018年修正）；</w:t>
      </w:r>
    </w:p>
    <w:p>
      <w:pPr>
        <w:pStyle w:val="4"/>
        <w:spacing w:line="540" w:lineRule="exact"/>
        <w:ind w:left="0" w:right="0" w:firstLine="664" w:firstLineChars="200"/>
        <w:jc w:val="both"/>
        <w:rPr>
          <w:rFonts w:hint="default" w:ascii="Times New Roman" w:hAnsi="Times New Roman" w:eastAsia="仿宋_GB2312" w:cs="Times New Roman"/>
          <w:spacing w:val="-4"/>
          <w:sz w:val="34"/>
          <w:szCs w:val="34"/>
          <w:lang w:eastAsia="zh-CN"/>
        </w:rPr>
      </w:pPr>
      <w:r>
        <w:rPr>
          <w:rFonts w:hint="default" w:ascii="Times New Roman" w:hAnsi="Times New Roman" w:eastAsia="仿宋_GB2312" w:cs="Times New Roman"/>
          <w:spacing w:val="-4"/>
          <w:sz w:val="34"/>
          <w:szCs w:val="34"/>
          <w:lang w:eastAsia="zh-CN"/>
        </w:rPr>
        <w:t>11、《天津市地质灾害防治规划（2021-2025年）》；</w:t>
      </w:r>
    </w:p>
    <w:p>
      <w:pPr>
        <w:pStyle w:val="4"/>
        <w:spacing w:line="540" w:lineRule="exact"/>
        <w:ind w:left="0" w:right="0" w:firstLine="664" w:firstLineChars="200"/>
        <w:jc w:val="both"/>
        <w:rPr>
          <w:rFonts w:hint="default" w:ascii="Times New Roman" w:hAnsi="Times New Roman" w:eastAsia="仿宋_GB2312" w:cs="Times New Roman"/>
          <w:spacing w:val="-4"/>
          <w:sz w:val="34"/>
          <w:szCs w:val="34"/>
          <w:lang w:eastAsia="zh-CN"/>
        </w:rPr>
      </w:pPr>
      <w:r>
        <w:rPr>
          <w:rFonts w:hint="default" w:ascii="Times New Roman" w:hAnsi="Times New Roman" w:eastAsia="仿宋_GB2312" w:cs="Times New Roman"/>
          <w:spacing w:val="-4"/>
          <w:sz w:val="34"/>
          <w:szCs w:val="34"/>
          <w:lang w:eastAsia="zh-CN"/>
        </w:rPr>
        <w:t>12、《天津市林地布局及保护利用规划（2021—2035年）》（阶段方案）；</w:t>
      </w:r>
    </w:p>
    <w:p>
      <w:pPr>
        <w:pStyle w:val="4"/>
        <w:spacing w:line="540" w:lineRule="exact"/>
        <w:ind w:left="0" w:right="0" w:firstLine="664" w:firstLineChars="200"/>
        <w:jc w:val="both"/>
        <w:rPr>
          <w:rFonts w:hint="default" w:ascii="Times New Roman" w:hAnsi="Times New Roman" w:eastAsia="仿宋_GB2312" w:cs="Times New Roman"/>
          <w:spacing w:val="-4"/>
          <w:sz w:val="34"/>
          <w:szCs w:val="34"/>
          <w:lang w:eastAsia="zh-CN"/>
        </w:rPr>
      </w:pPr>
      <w:r>
        <w:rPr>
          <w:rFonts w:hint="default" w:ascii="Times New Roman" w:hAnsi="Times New Roman" w:eastAsia="仿宋_GB2312" w:cs="Times New Roman"/>
          <w:spacing w:val="-4"/>
          <w:sz w:val="34"/>
          <w:szCs w:val="34"/>
          <w:lang w:eastAsia="zh-CN"/>
        </w:rPr>
        <w:t>13、《天津市村庄规划编制导则》；</w:t>
      </w:r>
    </w:p>
    <w:p>
      <w:pPr>
        <w:pStyle w:val="4"/>
        <w:spacing w:line="540" w:lineRule="exact"/>
        <w:ind w:left="0" w:right="0" w:firstLine="664" w:firstLineChars="200"/>
        <w:jc w:val="both"/>
        <w:rPr>
          <w:rFonts w:hint="default" w:ascii="Times New Roman" w:hAnsi="Times New Roman" w:eastAsia="仿宋_GB2312" w:cs="Times New Roman"/>
          <w:spacing w:val="-4"/>
          <w:sz w:val="34"/>
          <w:szCs w:val="34"/>
          <w:lang w:eastAsia="zh-CN"/>
        </w:rPr>
      </w:pPr>
      <w:r>
        <w:rPr>
          <w:rFonts w:hint="default" w:ascii="Times New Roman" w:hAnsi="Times New Roman" w:eastAsia="仿宋_GB2312" w:cs="Times New Roman"/>
          <w:spacing w:val="-4"/>
          <w:sz w:val="34"/>
          <w:szCs w:val="34"/>
          <w:lang w:eastAsia="zh-CN"/>
        </w:rPr>
        <w:t>14、《关于落实我市乡村振兴战略部署做好规划和自然资源管理工作的若干政策措施》（津规自发〔2019〕10号）；</w:t>
      </w:r>
    </w:p>
    <w:p>
      <w:pPr>
        <w:pStyle w:val="4"/>
        <w:spacing w:line="540" w:lineRule="exact"/>
        <w:ind w:left="0" w:right="0" w:firstLine="664" w:firstLineChars="200"/>
        <w:jc w:val="both"/>
        <w:rPr>
          <w:rFonts w:hint="default" w:ascii="Times New Roman" w:hAnsi="Times New Roman" w:eastAsia="仿宋_GB2312" w:cs="Times New Roman"/>
          <w:spacing w:val="-4"/>
          <w:sz w:val="34"/>
          <w:szCs w:val="34"/>
          <w:lang w:eastAsia="zh-CN"/>
        </w:rPr>
      </w:pPr>
      <w:r>
        <w:rPr>
          <w:rFonts w:hint="default" w:ascii="Times New Roman" w:hAnsi="Times New Roman" w:eastAsia="仿宋_GB2312" w:cs="Times New Roman"/>
          <w:spacing w:val="-4"/>
          <w:sz w:val="34"/>
          <w:szCs w:val="34"/>
          <w:lang w:eastAsia="zh-CN"/>
        </w:rPr>
        <w:t>15、《市规划资源局关于进一步规范村庄规划编制工作的通知》（津规资村镇发〔2020〕232号）；</w:t>
      </w:r>
    </w:p>
    <w:p>
      <w:pPr>
        <w:pStyle w:val="4"/>
        <w:spacing w:line="540" w:lineRule="exact"/>
        <w:ind w:left="0" w:right="0" w:firstLine="664" w:firstLineChars="200"/>
        <w:jc w:val="both"/>
        <w:rPr>
          <w:rFonts w:hint="default" w:ascii="Times New Roman" w:hAnsi="Times New Roman" w:eastAsia="仿宋_GB2312" w:cs="Times New Roman"/>
          <w:spacing w:val="-4"/>
          <w:sz w:val="34"/>
          <w:szCs w:val="34"/>
          <w:lang w:eastAsia="zh-CN"/>
        </w:rPr>
      </w:pPr>
      <w:r>
        <w:rPr>
          <w:rFonts w:hint="default" w:ascii="Times New Roman" w:hAnsi="Times New Roman" w:eastAsia="仿宋_GB2312" w:cs="Times New Roman"/>
          <w:spacing w:val="-4"/>
          <w:sz w:val="34"/>
          <w:szCs w:val="34"/>
          <w:lang w:eastAsia="zh-CN"/>
        </w:rPr>
        <w:t>16、《市规划资源局关于进一步做好村庄规划完善提升工作的通知》（津规资村镇发〔2021〕87号）；</w:t>
      </w:r>
    </w:p>
    <w:p>
      <w:pPr>
        <w:pStyle w:val="4"/>
        <w:spacing w:line="540" w:lineRule="exact"/>
        <w:ind w:left="0" w:right="0" w:firstLine="664" w:firstLineChars="200"/>
        <w:jc w:val="both"/>
        <w:rPr>
          <w:rFonts w:hint="default" w:ascii="Times New Roman" w:hAnsi="Times New Roman" w:eastAsia="仿宋_GB2312" w:cs="Times New Roman"/>
          <w:spacing w:val="-4"/>
          <w:sz w:val="34"/>
          <w:szCs w:val="34"/>
          <w:lang w:eastAsia="zh-CN"/>
        </w:rPr>
      </w:pPr>
      <w:r>
        <w:rPr>
          <w:rFonts w:hint="default" w:ascii="Times New Roman" w:hAnsi="Times New Roman" w:eastAsia="仿宋_GB2312" w:cs="Times New Roman"/>
          <w:spacing w:val="-4"/>
          <w:sz w:val="34"/>
          <w:szCs w:val="34"/>
          <w:lang w:eastAsia="zh-CN"/>
        </w:rPr>
        <w:t>17、2022年度全国国土变更调查；</w:t>
      </w:r>
    </w:p>
    <w:p>
      <w:pPr>
        <w:pStyle w:val="4"/>
        <w:spacing w:line="540" w:lineRule="exact"/>
        <w:ind w:left="0" w:right="0" w:firstLine="664" w:firstLineChars="200"/>
        <w:jc w:val="both"/>
        <w:rPr>
          <w:rFonts w:hint="default" w:ascii="Times New Roman" w:hAnsi="Times New Roman" w:eastAsia="仿宋_GB2312" w:cs="Times New Roman"/>
          <w:spacing w:val="-4"/>
          <w:sz w:val="34"/>
          <w:szCs w:val="34"/>
          <w:lang w:eastAsia="zh-CN"/>
        </w:rPr>
      </w:pPr>
      <w:r>
        <w:rPr>
          <w:rFonts w:hint="default" w:ascii="Times New Roman" w:hAnsi="Times New Roman" w:eastAsia="仿宋_GB2312" w:cs="Times New Roman"/>
          <w:spacing w:val="-4"/>
          <w:sz w:val="34"/>
          <w:szCs w:val="34"/>
          <w:lang w:eastAsia="zh-CN"/>
        </w:rPr>
        <w:t>18、《西青区国土空间总体规划（2021—2035年）（送审稿）》及相关专项规划；</w:t>
      </w:r>
    </w:p>
    <w:p>
      <w:pPr>
        <w:pStyle w:val="4"/>
        <w:spacing w:line="540" w:lineRule="exact"/>
        <w:ind w:left="0" w:right="0" w:firstLine="664" w:firstLineChars="200"/>
        <w:jc w:val="both"/>
        <w:rPr>
          <w:rFonts w:hint="default" w:ascii="Times New Roman" w:hAnsi="Times New Roman" w:eastAsia="仿宋_GB2312" w:cs="Times New Roman"/>
          <w:spacing w:val="-4"/>
          <w:sz w:val="34"/>
          <w:szCs w:val="34"/>
          <w:lang w:eastAsia="zh-CN"/>
        </w:rPr>
      </w:pPr>
      <w:r>
        <w:rPr>
          <w:rFonts w:hint="default" w:ascii="Times New Roman" w:hAnsi="Times New Roman" w:eastAsia="仿宋_GB2312" w:cs="Times New Roman"/>
          <w:spacing w:val="-4"/>
          <w:sz w:val="34"/>
          <w:szCs w:val="34"/>
          <w:lang w:eastAsia="zh-CN"/>
        </w:rPr>
        <w:t>19、其他有关法律、法规、政策、技术规范与标准、文件等。</w:t>
      </w:r>
    </w:p>
    <w:p>
      <w:pPr>
        <w:pStyle w:val="2"/>
        <w:spacing w:line="540" w:lineRule="exact"/>
        <w:ind w:left="0" w:firstLine="608" w:firstLineChars="200"/>
        <w:jc w:val="both"/>
        <w:rPr>
          <w:rFonts w:hint="default" w:ascii="Times New Roman" w:hAnsi="Times New Roman" w:eastAsia="黑体" w:cs="Times New Roman"/>
          <w:b w:val="0"/>
          <w:bCs w:val="0"/>
          <w:w w:val="95"/>
          <w:sz w:val="32"/>
          <w:szCs w:val="32"/>
          <w:lang w:eastAsia="zh-CN"/>
        </w:rPr>
      </w:pPr>
      <w:r>
        <w:rPr>
          <w:rFonts w:hint="default" w:ascii="Times New Roman" w:hAnsi="Times New Roman" w:eastAsia="黑体" w:cs="Times New Roman"/>
          <w:b w:val="0"/>
          <w:bCs w:val="0"/>
          <w:w w:val="95"/>
          <w:sz w:val="32"/>
          <w:szCs w:val="32"/>
          <w:lang w:eastAsia="zh-CN"/>
        </w:rPr>
        <w:t>四、目标与定位</w:t>
      </w:r>
    </w:p>
    <w:p>
      <w:pPr>
        <w:pStyle w:val="4"/>
        <w:spacing w:line="540" w:lineRule="exact"/>
        <w:ind w:left="0" w:right="0" w:firstLine="664" w:firstLineChars="200"/>
        <w:jc w:val="both"/>
        <w:rPr>
          <w:rFonts w:hint="default" w:ascii="Times New Roman" w:hAnsi="Times New Roman" w:eastAsia="仿宋_GB2312" w:cs="Times New Roman"/>
          <w:spacing w:val="-4"/>
          <w:sz w:val="34"/>
          <w:szCs w:val="34"/>
          <w:lang w:eastAsia="zh-CN"/>
        </w:rPr>
      </w:pPr>
      <w:r>
        <w:rPr>
          <w:rFonts w:hint="default" w:ascii="Times New Roman" w:hAnsi="Times New Roman" w:eastAsia="仿宋_GB2312" w:cs="Times New Roman"/>
          <w:spacing w:val="-4"/>
          <w:sz w:val="34"/>
          <w:szCs w:val="34"/>
          <w:lang w:eastAsia="zh-CN"/>
        </w:rPr>
        <w:t>当城村为城郊融合类村庄，规划以风力发电项目建设为契机，以农林资源为基础，以产业振兴为抓手，将当城村转型成为辛口镇集农产品生产、休闲农事体验、旅游观光于一体的生态产业示范型村庄。</w:t>
      </w:r>
    </w:p>
    <w:p>
      <w:pPr>
        <w:pStyle w:val="2"/>
        <w:spacing w:line="540" w:lineRule="exact"/>
        <w:ind w:left="0" w:firstLine="608" w:firstLineChars="200"/>
        <w:jc w:val="both"/>
        <w:rPr>
          <w:rFonts w:hint="default" w:ascii="Times New Roman" w:hAnsi="Times New Roman" w:eastAsia="黑体" w:cs="Times New Roman"/>
          <w:b w:val="0"/>
          <w:bCs w:val="0"/>
          <w:w w:val="95"/>
          <w:sz w:val="32"/>
          <w:szCs w:val="32"/>
          <w:lang w:eastAsia="zh-CN"/>
        </w:rPr>
      </w:pPr>
      <w:r>
        <w:rPr>
          <w:rFonts w:hint="default" w:ascii="Times New Roman" w:hAnsi="Times New Roman" w:eastAsia="黑体" w:cs="Times New Roman"/>
          <w:b w:val="0"/>
          <w:bCs w:val="0"/>
          <w:w w:val="95"/>
          <w:sz w:val="32"/>
          <w:szCs w:val="32"/>
          <w:lang w:eastAsia="zh-CN"/>
        </w:rPr>
        <w:t>五、耕地和永久基本农田</w:t>
      </w:r>
    </w:p>
    <w:p>
      <w:pPr>
        <w:pStyle w:val="4"/>
        <w:spacing w:line="540" w:lineRule="exact"/>
        <w:ind w:left="0" w:right="0" w:firstLine="664" w:firstLineChars="200"/>
        <w:jc w:val="both"/>
        <w:rPr>
          <w:rFonts w:hint="default" w:ascii="Times New Roman" w:hAnsi="Times New Roman" w:eastAsia="仿宋_GB2312" w:cs="Times New Roman"/>
          <w:spacing w:val="-4"/>
          <w:sz w:val="34"/>
          <w:szCs w:val="34"/>
          <w:lang w:eastAsia="zh-CN"/>
        </w:rPr>
      </w:pPr>
      <w:r>
        <w:rPr>
          <w:rFonts w:hint="default" w:ascii="Times New Roman" w:hAnsi="Times New Roman" w:eastAsia="仿宋_GB2312" w:cs="Times New Roman"/>
          <w:spacing w:val="-4"/>
          <w:sz w:val="34"/>
          <w:szCs w:val="34"/>
          <w:lang w:eastAsia="zh-CN"/>
        </w:rPr>
        <w:t>当</w:t>
      </w:r>
      <w:bookmarkStart w:id="2" w:name="_GoBack"/>
      <w:r>
        <w:rPr>
          <w:rFonts w:hint="default" w:ascii="Times New Roman" w:hAnsi="Times New Roman" w:eastAsia="仿宋_GB2312" w:cs="Times New Roman"/>
          <w:spacing w:val="-4"/>
          <w:sz w:val="34"/>
          <w:szCs w:val="34"/>
          <w:lang w:eastAsia="zh-CN"/>
        </w:rPr>
        <w:t>城村村庄规划严格落实耕地和永久基本农田保护责任，统筹安排农用地布局。规划落实上位规划确定的永久基本农田和耕地保护目标，规划永久基本农田759.68公顷，明确保护要求和管控措施。</w:t>
      </w:r>
    </w:p>
    <w:bookmarkEnd w:id="2"/>
    <w:p>
      <w:pPr>
        <w:pStyle w:val="2"/>
        <w:spacing w:line="540" w:lineRule="exact"/>
        <w:ind w:left="0" w:firstLine="608" w:firstLineChars="200"/>
        <w:jc w:val="both"/>
        <w:rPr>
          <w:rFonts w:hint="default" w:ascii="Times New Roman" w:hAnsi="Times New Roman" w:eastAsia="黑体" w:cs="Times New Roman"/>
          <w:b w:val="0"/>
          <w:bCs w:val="0"/>
          <w:w w:val="95"/>
          <w:sz w:val="32"/>
          <w:szCs w:val="32"/>
          <w:lang w:eastAsia="zh-CN"/>
        </w:rPr>
      </w:pPr>
      <w:r>
        <w:rPr>
          <w:rFonts w:hint="default" w:ascii="Times New Roman" w:hAnsi="Times New Roman" w:eastAsia="黑体" w:cs="Times New Roman"/>
          <w:b w:val="0"/>
          <w:bCs w:val="0"/>
          <w:w w:val="95"/>
          <w:sz w:val="32"/>
          <w:szCs w:val="32"/>
          <w:lang w:eastAsia="zh-CN"/>
        </w:rPr>
        <w:t>六、国土空间布局优化</w:t>
      </w:r>
    </w:p>
    <w:p>
      <w:pPr>
        <w:pStyle w:val="4"/>
        <w:spacing w:line="540" w:lineRule="exact"/>
        <w:ind w:left="0" w:right="0" w:firstLine="664" w:firstLineChars="200"/>
        <w:jc w:val="both"/>
        <w:rPr>
          <w:rFonts w:hint="default" w:ascii="Times New Roman" w:hAnsi="Times New Roman" w:eastAsia="仿宋_GB2312" w:cs="Times New Roman"/>
          <w:spacing w:val="-4"/>
          <w:sz w:val="34"/>
          <w:szCs w:val="34"/>
          <w:lang w:eastAsia="zh-CN"/>
        </w:rPr>
      </w:pPr>
      <w:r>
        <w:rPr>
          <w:rFonts w:hint="default" w:ascii="Times New Roman" w:hAnsi="Times New Roman" w:eastAsia="仿宋_GB2312" w:cs="Times New Roman"/>
          <w:spacing w:val="-4"/>
          <w:sz w:val="34"/>
          <w:szCs w:val="34"/>
          <w:lang w:eastAsia="zh-CN"/>
        </w:rPr>
        <w:t>规划节约集约利用土地，落实上位规划确定的永久基本农田保护红线及河道蓝线等各类管控线位要求，以2022年度国土变更调查数据为底数，结合交通、市政等相关专项规划，统筹水、林、田等自然资源和产业、交通、公共服务设施、市政基础设施等各类要素，明确“生产、生活、生态”相融合的空间布局，划定村庄建设边界，进行用地布局整合与优化。</w:t>
      </w:r>
    </w:p>
    <w:p>
      <w:pPr>
        <w:pStyle w:val="4"/>
        <w:spacing w:line="540" w:lineRule="exact"/>
        <w:ind w:left="0" w:right="0" w:firstLine="664" w:firstLineChars="200"/>
        <w:jc w:val="both"/>
        <w:rPr>
          <w:rFonts w:hint="default" w:ascii="Times New Roman" w:hAnsi="Times New Roman" w:eastAsia="仿宋_GB2312" w:cs="Times New Roman"/>
          <w:spacing w:val="-4"/>
          <w:sz w:val="34"/>
          <w:szCs w:val="34"/>
          <w:lang w:eastAsia="zh-CN"/>
        </w:rPr>
      </w:pPr>
      <w:r>
        <w:rPr>
          <w:rFonts w:hint="default" w:ascii="Times New Roman" w:hAnsi="Times New Roman" w:eastAsia="仿宋_GB2312" w:cs="Times New Roman"/>
          <w:spacing w:val="-4"/>
          <w:sz w:val="34"/>
          <w:szCs w:val="34"/>
          <w:lang w:eastAsia="zh-CN"/>
        </w:rPr>
        <w:t>以农田整治为重点，以提高耕地质量为主要目的，改善农业生产条件和生态环境。严格控制林地转为非林地,</w:t>
      </w:r>
      <w:r>
        <w:rPr>
          <w:rFonts w:hint="default" w:ascii="Times New Roman" w:hAnsi="Times New Roman" w:eastAsia="仿宋_GB2312" w:cs="Times New Roman"/>
          <w:lang w:eastAsia="zh-CN"/>
        </w:rPr>
        <w:t xml:space="preserve"> </w:t>
      </w:r>
      <w:r>
        <w:rPr>
          <w:rFonts w:hint="default" w:ascii="Times New Roman" w:hAnsi="Times New Roman" w:eastAsia="仿宋_GB2312" w:cs="Times New Roman"/>
          <w:spacing w:val="-4"/>
          <w:sz w:val="34"/>
          <w:szCs w:val="34"/>
          <w:lang w:eastAsia="zh-CN"/>
        </w:rPr>
        <w:t>不得非法改变林地用途，毁坏林木和林地。落实上位规划重大建设项目建设需求。规划中明确各类建设用地的用途、强度、高度等管控要求。</w:t>
      </w:r>
    </w:p>
    <w:p>
      <w:pPr>
        <w:pStyle w:val="2"/>
        <w:spacing w:line="540" w:lineRule="exact"/>
        <w:ind w:left="0" w:firstLine="608" w:firstLineChars="200"/>
        <w:jc w:val="both"/>
        <w:rPr>
          <w:rFonts w:hint="default" w:ascii="Times New Roman" w:hAnsi="Times New Roman" w:eastAsia="黑体" w:cs="Times New Roman"/>
          <w:b w:val="0"/>
          <w:bCs w:val="0"/>
          <w:w w:val="95"/>
          <w:sz w:val="32"/>
          <w:szCs w:val="32"/>
          <w:lang w:eastAsia="zh-CN"/>
        </w:rPr>
      </w:pPr>
      <w:r>
        <w:rPr>
          <w:rFonts w:hint="default" w:ascii="Times New Roman" w:hAnsi="Times New Roman" w:eastAsia="黑体" w:cs="Times New Roman"/>
          <w:b w:val="0"/>
          <w:bCs w:val="0"/>
          <w:w w:val="95"/>
          <w:sz w:val="32"/>
          <w:szCs w:val="32"/>
          <w:lang w:eastAsia="zh-CN"/>
        </w:rPr>
        <w:t>七、基础设施规划</w:t>
      </w:r>
    </w:p>
    <w:p>
      <w:pPr>
        <w:pStyle w:val="4"/>
        <w:spacing w:line="540" w:lineRule="exact"/>
        <w:ind w:left="0" w:right="0" w:firstLine="664" w:firstLineChars="200"/>
        <w:jc w:val="both"/>
        <w:rPr>
          <w:rFonts w:hint="default" w:ascii="Times New Roman" w:hAnsi="Times New Roman" w:eastAsia="仿宋_GB2312" w:cs="Times New Roman"/>
          <w:spacing w:val="-4"/>
          <w:sz w:val="34"/>
          <w:szCs w:val="34"/>
          <w:lang w:eastAsia="zh-CN"/>
        </w:rPr>
      </w:pPr>
      <w:bookmarkStart w:id="0" w:name="_Hlk165968354"/>
      <w:r>
        <w:rPr>
          <w:rFonts w:hint="default" w:ascii="Times New Roman" w:hAnsi="Times New Roman" w:eastAsia="仿宋_GB2312" w:cs="Times New Roman"/>
          <w:spacing w:val="-4"/>
          <w:sz w:val="34"/>
          <w:szCs w:val="34"/>
          <w:lang w:eastAsia="zh-CN"/>
        </w:rPr>
        <w:t>道路交通设施方面，保留现状绿源西道、京沪高速公路及荣乌高速公路等公路。</w:t>
      </w:r>
    </w:p>
    <w:bookmarkEnd w:id="0"/>
    <w:p>
      <w:pPr>
        <w:pStyle w:val="4"/>
        <w:spacing w:line="540" w:lineRule="exact"/>
        <w:ind w:left="0" w:right="0" w:firstLine="664" w:firstLineChars="200"/>
        <w:jc w:val="both"/>
        <w:rPr>
          <w:rFonts w:hint="default" w:ascii="Times New Roman" w:hAnsi="Times New Roman" w:eastAsia="仿宋_GB2312" w:cs="Times New Roman"/>
          <w:spacing w:val="-4"/>
          <w:sz w:val="34"/>
          <w:szCs w:val="34"/>
          <w:lang w:eastAsia="zh-CN"/>
        </w:rPr>
      </w:pPr>
      <w:bookmarkStart w:id="1" w:name="_Hlk165968065"/>
      <w:r>
        <w:rPr>
          <w:rFonts w:hint="default" w:ascii="Times New Roman" w:hAnsi="Times New Roman" w:eastAsia="仿宋_GB2312" w:cs="Times New Roman"/>
          <w:spacing w:val="-4"/>
          <w:sz w:val="34"/>
          <w:szCs w:val="34"/>
          <w:lang w:eastAsia="zh-CN"/>
        </w:rPr>
        <w:t>市政基础设施方面，当城村水源引自凌庄水厂和杨柳青水厂；排水体制采用雨、污分流制，保留现状泰和路雨水泵站，雨水经路边沟渠、管道排入周边水系，结合道路建设完善雨水管渠；上级电源引自现状及村外规划110、35千伏变电站，结合村庄布局完善10千伏变电设施，结合道路建设完善10千伏及以下等级电力线路；气源采用天然气；根据需要设置垃圾收集站。</w:t>
      </w:r>
    </w:p>
    <w:p>
      <w:pPr>
        <w:pStyle w:val="4"/>
        <w:spacing w:line="540" w:lineRule="exact"/>
        <w:ind w:left="0" w:right="0" w:firstLine="664" w:firstLineChars="200"/>
        <w:jc w:val="both"/>
        <w:rPr>
          <w:rFonts w:hint="default" w:ascii="Times New Roman" w:hAnsi="Times New Roman" w:eastAsia="仿宋_GB2312" w:cs="Times New Roman"/>
          <w:spacing w:val="-4"/>
          <w:sz w:val="34"/>
          <w:szCs w:val="34"/>
          <w:lang w:eastAsia="zh-CN"/>
        </w:rPr>
      </w:pPr>
    </w:p>
    <w:p>
      <w:pPr>
        <w:pStyle w:val="4"/>
        <w:spacing w:line="540" w:lineRule="exact"/>
        <w:ind w:left="0" w:right="0" w:firstLine="664" w:firstLineChars="200"/>
        <w:jc w:val="both"/>
        <w:rPr>
          <w:rFonts w:hint="default" w:ascii="Times New Roman" w:hAnsi="Times New Roman" w:eastAsia="仿宋_GB2312" w:cs="Times New Roman"/>
          <w:spacing w:val="-4"/>
          <w:sz w:val="34"/>
          <w:szCs w:val="34"/>
          <w:lang w:eastAsia="zh-CN"/>
        </w:rPr>
      </w:pPr>
    </w:p>
    <w:p>
      <w:pPr>
        <w:pStyle w:val="4"/>
        <w:spacing w:line="540" w:lineRule="exact"/>
        <w:ind w:left="0" w:right="0" w:firstLine="664" w:firstLineChars="200"/>
        <w:jc w:val="center"/>
        <w:rPr>
          <w:rFonts w:hint="default" w:ascii="Times New Roman" w:hAnsi="Times New Roman" w:eastAsia="仿宋_GB2312" w:cs="Times New Roman"/>
          <w:spacing w:val="-4"/>
          <w:sz w:val="34"/>
          <w:szCs w:val="34"/>
          <w:lang w:val="en-US" w:eastAsia="zh-CN"/>
        </w:rPr>
      </w:pPr>
      <w:r>
        <w:rPr>
          <w:rFonts w:hint="default" w:ascii="Times New Roman" w:hAnsi="Times New Roman" w:eastAsia="仿宋_GB2312" w:cs="Times New Roman"/>
          <w:spacing w:val="-4"/>
          <w:sz w:val="34"/>
          <w:szCs w:val="34"/>
          <w:lang w:val="en-US" w:eastAsia="zh-CN"/>
        </w:rPr>
        <w:t xml:space="preserve">                          2024年5月10日</w:t>
      </w:r>
    </w:p>
    <w:p>
      <w:pPr>
        <w:pStyle w:val="4"/>
        <w:spacing w:line="540" w:lineRule="exact"/>
        <w:ind w:left="0" w:right="0" w:firstLine="664" w:firstLineChars="200"/>
        <w:jc w:val="both"/>
        <w:rPr>
          <w:rFonts w:hint="default" w:ascii="Times New Roman" w:hAnsi="Times New Roman" w:eastAsia="仿宋_GB2312" w:cs="Times New Roman"/>
          <w:spacing w:val="-4"/>
          <w:sz w:val="34"/>
          <w:szCs w:val="34"/>
          <w:lang w:val="en-US" w:eastAsia="zh-CN"/>
        </w:rPr>
      </w:pPr>
      <w:r>
        <w:rPr>
          <w:rFonts w:hint="default" w:ascii="Times New Roman" w:hAnsi="Times New Roman" w:eastAsia="仿宋_GB2312" w:cs="Times New Roman"/>
          <w:spacing w:val="-4"/>
          <w:sz w:val="34"/>
          <w:szCs w:val="34"/>
          <w:lang w:val="en-US" w:eastAsia="zh-CN"/>
        </w:rPr>
        <w:t xml:space="preserve">                       </w:t>
      </w:r>
    </w:p>
    <w:p>
      <w:pPr>
        <w:pStyle w:val="4"/>
        <w:spacing w:line="540" w:lineRule="exact"/>
        <w:ind w:left="0" w:right="0" w:firstLine="664" w:firstLineChars="200"/>
        <w:jc w:val="both"/>
        <w:rPr>
          <w:rFonts w:hint="default" w:ascii="Times New Roman" w:hAnsi="Times New Roman" w:eastAsia="仿宋_GB2312" w:cs="Times New Roman"/>
          <w:spacing w:val="-4"/>
          <w:sz w:val="34"/>
          <w:szCs w:val="34"/>
          <w:lang w:val="en-US" w:eastAsia="zh-CN"/>
        </w:rPr>
      </w:pPr>
    </w:p>
    <w:p>
      <w:pPr>
        <w:pStyle w:val="4"/>
        <w:spacing w:line="540" w:lineRule="exact"/>
        <w:ind w:left="0" w:right="0" w:firstLine="664" w:firstLineChars="200"/>
        <w:jc w:val="both"/>
        <w:rPr>
          <w:rFonts w:hint="default" w:ascii="Times New Roman" w:hAnsi="Times New Roman" w:eastAsia="仿宋_GB2312" w:cs="Times New Roman"/>
          <w:spacing w:val="-4"/>
          <w:sz w:val="34"/>
          <w:szCs w:val="34"/>
          <w:lang w:val="en-US" w:eastAsia="zh-CN"/>
        </w:rPr>
      </w:pPr>
    </w:p>
    <w:bookmarkEnd w:id="1"/>
    <w:p>
      <w:pPr>
        <w:pStyle w:val="4"/>
        <w:spacing w:line="588" w:lineRule="exact"/>
        <w:ind w:left="0" w:right="0" w:firstLine="666" w:firstLineChars="200"/>
        <w:rPr>
          <w:rFonts w:hint="default" w:ascii="Times New Roman" w:hAnsi="Times New Roman" w:eastAsia="仿宋_GB2312" w:cs="Times New Roman"/>
          <w:b/>
          <w:bCs/>
          <w:spacing w:val="-4"/>
          <w:sz w:val="34"/>
          <w:szCs w:val="34"/>
          <w:lang w:eastAsia="zh-CN"/>
        </w:rPr>
      </w:pPr>
    </w:p>
    <w:p>
      <w:pPr>
        <w:pStyle w:val="4"/>
        <w:spacing w:line="588" w:lineRule="exact"/>
        <w:ind w:left="0" w:right="0" w:firstLine="666" w:firstLineChars="200"/>
        <w:rPr>
          <w:rFonts w:hint="default" w:ascii="Times New Roman" w:hAnsi="Times New Roman" w:eastAsia="仿宋_GB2312" w:cs="Times New Roman"/>
          <w:b/>
          <w:bCs/>
          <w:spacing w:val="-4"/>
          <w:sz w:val="34"/>
          <w:szCs w:val="34"/>
          <w:lang w:eastAsia="zh-CN"/>
        </w:rPr>
      </w:pPr>
    </w:p>
    <w:p>
      <w:pPr>
        <w:pStyle w:val="4"/>
        <w:spacing w:line="588" w:lineRule="exact"/>
        <w:ind w:left="0" w:right="0" w:firstLine="666" w:firstLineChars="200"/>
        <w:rPr>
          <w:rFonts w:hint="default" w:ascii="Times New Roman" w:hAnsi="Times New Roman" w:eastAsia="仿宋_GB2312" w:cs="Times New Roman"/>
          <w:b/>
          <w:bCs/>
          <w:spacing w:val="-4"/>
          <w:sz w:val="34"/>
          <w:szCs w:val="34"/>
          <w:lang w:eastAsia="zh-CN"/>
        </w:rPr>
      </w:pPr>
    </w:p>
    <w:p>
      <w:pPr>
        <w:pStyle w:val="4"/>
        <w:spacing w:line="588" w:lineRule="exact"/>
        <w:ind w:left="0" w:right="0" w:firstLine="666" w:firstLineChars="200"/>
        <w:rPr>
          <w:rFonts w:hint="default" w:ascii="Times New Roman" w:hAnsi="Times New Roman" w:eastAsia="仿宋_GB2312" w:cs="Times New Roman"/>
          <w:b/>
          <w:bCs/>
          <w:spacing w:val="-4"/>
          <w:sz w:val="34"/>
          <w:szCs w:val="34"/>
          <w:lang w:eastAsia="zh-CN"/>
        </w:rPr>
      </w:pPr>
    </w:p>
    <w:p>
      <w:pPr>
        <w:pStyle w:val="4"/>
        <w:spacing w:line="588" w:lineRule="exact"/>
        <w:ind w:left="0" w:right="0" w:firstLine="666" w:firstLineChars="200"/>
        <w:rPr>
          <w:rFonts w:hint="default" w:ascii="Times New Roman" w:hAnsi="Times New Roman" w:eastAsia="仿宋_GB2312" w:cs="Times New Roman"/>
          <w:b/>
          <w:bCs/>
          <w:spacing w:val="-4"/>
          <w:sz w:val="34"/>
          <w:szCs w:val="34"/>
          <w:lang w:eastAsia="zh-CN"/>
        </w:rPr>
      </w:pPr>
    </w:p>
    <w:p>
      <w:pPr>
        <w:pStyle w:val="4"/>
        <w:spacing w:line="588" w:lineRule="exact"/>
        <w:ind w:left="0" w:right="0" w:firstLine="666" w:firstLineChars="200"/>
        <w:rPr>
          <w:rFonts w:hint="default" w:ascii="Times New Roman" w:hAnsi="Times New Roman" w:eastAsia="仿宋_GB2312" w:cs="Times New Roman"/>
          <w:b/>
          <w:bCs/>
          <w:spacing w:val="-4"/>
          <w:sz w:val="34"/>
          <w:szCs w:val="34"/>
          <w:lang w:eastAsia="zh-CN"/>
        </w:rPr>
      </w:pPr>
    </w:p>
    <w:p>
      <w:pPr>
        <w:pStyle w:val="4"/>
        <w:spacing w:line="588" w:lineRule="exact"/>
        <w:ind w:left="0" w:right="0" w:firstLine="666" w:firstLineChars="200"/>
        <w:rPr>
          <w:rFonts w:hint="default" w:ascii="Times New Roman" w:hAnsi="Times New Roman" w:eastAsia="仿宋_GB2312" w:cs="Times New Roman"/>
          <w:b/>
          <w:bCs/>
          <w:spacing w:val="-4"/>
          <w:sz w:val="34"/>
          <w:szCs w:val="34"/>
          <w:lang w:eastAsia="zh-CN"/>
        </w:rPr>
      </w:pPr>
    </w:p>
    <w:p>
      <w:pPr>
        <w:pStyle w:val="4"/>
        <w:spacing w:line="588" w:lineRule="exact"/>
        <w:ind w:left="0" w:right="0" w:firstLine="666" w:firstLineChars="200"/>
        <w:rPr>
          <w:rFonts w:hint="default" w:ascii="Times New Roman" w:hAnsi="Times New Roman" w:eastAsia="仿宋_GB2312" w:cs="Times New Roman"/>
          <w:b/>
          <w:bCs/>
          <w:spacing w:val="-4"/>
          <w:sz w:val="34"/>
          <w:szCs w:val="34"/>
          <w:lang w:eastAsia="zh-CN"/>
        </w:rPr>
      </w:pPr>
    </w:p>
    <w:p>
      <w:pPr>
        <w:pStyle w:val="4"/>
        <w:spacing w:line="588" w:lineRule="exact"/>
        <w:ind w:left="0" w:right="0" w:firstLine="666" w:firstLineChars="200"/>
        <w:rPr>
          <w:rFonts w:hint="default" w:ascii="Times New Roman" w:hAnsi="Times New Roman" w:eastAsia="仿宋_GB2312" w:cs="Times New Roman"/>
          <w:b/>
          <w:bCs/>
          <w:spacing w:val="-4"/>
          <w:sz w:val="34"/>
          <w:szCs w:val="34"/>
          <w:lang w:eastAsia="zh-CN"/>
        </w:rPr>
      </w:pPr>
    </w:p>
    <w:p>
      <w:pPr>
        <w:pStyle w:val="4"/>
        <w:spacing w:line="588" w:lineRule="exact"/>
        <w:ind w:left="0" w:right="0" w:firstLine="666" w:firstLineChars="200"/>
        <w:rPr>
          <w:rFonts w:hint="default" w:ascii="Times New Roman" w:hAnsi="Times New Roman" w:eastAsia="仿宋_GB2312" w:cs="Times New Roman"/>
          <w:b/>
          <w:bCs/>
          <w:spacing w:val="-4"/>
          <w:sz w:val="34"/>
          <w:szCs w:val="34"/>
          <w:lang w:eastAsia="zh-CN"/>
        </w:rPr>
      </w:pPr>
    </w:p>
    <w:p>
      <w:pPr>
        <w:pStyle w:val="4"/>
        <w:spacing w:line="588" w:lineRule="exact"/>
        <w:ind w:left="0" w:right="0" w:firstLine="666" w:firstLineChars="200"/>
        <w:rPr>
          <w:rFonts w:hint="default" w:ascii="Times New Roman" w:hAnsi="Times New Roman" w:eastAsia="方正楷体简体" w:cs="Times New Roman"/>
          <w:b/>
          <w:bCs/>
          <w:spacing w:val="-4"/>
          <w:sz w:val="34"/>
          <w:szCs w:val="34"/>
          <w:lang w:eastAsia="zh-CN"/>
        </w:rPr>
      </w:pPr>
    </w:p>
    <w:p>
      <w:pPr>
        <w:pStyle w:val="4"/>
        <w:spacing w:line="588" w:lineRule="exact"/>
        <w:ind w:left="0" w:right="0" w:firstLine="666" w:firstLineChars="200"/>
        <w:rPr>
          <w:rFonts w:hint="default" w:ascii="Times New Roman" w:hAnsi="Times New Roman" w:eastAsia="方正楷体简体" w:cs="Times New Roman"/>
          <w:b/>
          <w:bCs/>
          <w:spacing w:val="-4"/>
          <w:sz w:val="34"/>
          <w:szCs w:val="34"/>
          <w:lang w:eastAsia="zh-CN"/>
        </w:rPr>
      </w:pPr>
    </w:p>
    <w:p>
      <w:pPr>
        <w:pStyle w:val="4"/>
        <w:spacing w:line="588" w:lineRule="exact"/>
        <w:ind w:left="0" w:right="0" w:firstLine="666" w:firstLineChars="200"/>
        <w:rPr>
          <w:rFonts w:hint="default" w:ascii="Times New Roman" w:hAnsi="Times New Roman" w:eastAsia="方正楷体简体" w:cs="Times New Roman"/>
          <w:b/>
          <w:bCs/>
          <w:spacing w:val="-4"/>
          <w:sz w:val="34"/>
          <w:szCs w:val="34"/>
          <w:lang w:eastAsia="zh-CN"/>
        </w:rPr>
      </w:pPr>
    </w:p>
    <w:p>
      <w:pPr>
        <w:pStyle w:val="4"/>
        <w:spacing w:line="588" w:lineRule="exact"/>
        <w:ind w:left="0" w:right="0" w:firstLine="666" w:firstLineChars="200"/>
        <w:rPr>
          <w:rFonts w:hint="default" w:ascii="Times New Roman" w:hAnsi="Times New Roman" w:eastAsia="方正楷体简体" w:cs="Times New Roman"/>
          <w:b/>
          <w:bCs/>
          <w:spacing w:val="-4"/>
          <w:sz w:val="34"/>
          <w:szCs w:val="34"/>
          <w:lang w:eastAsia="zh-CN"/>
        </w:rPr>
      </w:pPr>
    </w:p>
    <w:p>
      <w:pPr>
        <w:pStyle w:val="4"/>
        <w:spacing w:line="588" w:lineRule="exact"/>
        <w:ind w:left="0" w:right="0" w:firstLine="666" w:firstLineChars="200"/>
        <w:rPr>
          <w:rFonts w:hint="default" w:ascii="Times New Roman" w:hAnsi="Times New Roman" w:eastAsia="方正楷体简体" w:cs="Times New Roman"/>
          <w:b/>
          <w:bCs/>
          <w:spacing w:val="-4"/>
          <w:sz w:val="34"/>
          <w:szCs w:val="34"/>
          <w:lang w:eastAsia="zh-CN"/>
        </w:rPr>
      </w:pPr>
    </w:p>
    <w:p>
      <w:pPr>
        <w:pStyle w:val="4"/>
        <w:spacing w:line="588" w:lineRule="exact"/>
        <w:ind w:left="0" w:right="0" w:firstLine="666" w:firstLineChars="200"/>
        <w:rPr>
          <w:rFonts w:hint="default" w:ascii="Times New Roman" w:hAnsi="Times New Roman" w:eastAsia="方正楷体简体" w:cs="Times New Roman"/>
          <w:b/>
          <w:bCs/>
          <w:spacing w:val="-4"/>
          <w:sz w:val="34"/>
          <w:szCs w:val="34"/>
          <w:lang w:eastAsia="zh-CN"/>
        </w:rPr>
      </w:pPr>
    </w:p>
    <w:p>
      <w:pPr>
        <w:pStyle w:val="4"/>
        <w:spacing w:line="588" w:lineRule="exact"/>
        <w:ind w:left="0" w:right="0" w:firstLine="666" w:firstLineChars="200"/>
        <w:rPr>
          <w:rFonts w:hint="default" w:ascii="Times New Roman" w:hAnsi="Times New Roman" w:eastAsia="方正楷体简体" w:cs="Times New Roman"/>
          <w:b/>
          <w:bCs/>
          <w:spacing w:val="-4"/>
          <w:sz w:val="34"/>
          <w:szCs w:val="34"/>
          <w:lang w:eastAsia="zh-CN"/>
        </w:rPr>
      </w:pPr>
    </w:p>
    <w:p>
      <w:pPr>
        <w:pStyle w:val="4"/>
        <w:spacing w:line="588" w:lineRule="exact"/>
        <w:ind w:right="0"/>
        <w:rPr>
          <w:rFonts w:hint="default" w:ascii="Times New Roman" w:hAnsi="Times New Roman" w:eastAsia="方正楷体简体" w:cs="Times New Roman"/>
          <w:b/>
          <w:bCs/>
          <w:spacing w:val="-4"/>
          <w:sz w:val="34"/>
          <w:szCs w:val="34"/>
          <w:lang w:eastAsia="zh-CN"/>
        </w:rPr>
      </w:pPr>
      <w:r>
        <w:rPr>
          <w:rFonts w:hint="default" w:ascii="Times New Roman" w:hAnsi="Times New Roman" w:eastAsia="方正楷体简体" w:cs="Times New Roman"/>
          <w:b/>
          <w:bCs/>
          <w:spacing w:val="-4"/>
          <w:sz w:val="34"/>
          <w:szCs w:val="34"/>
          <w:lang w:eastAsia="zh-CN"/>
        </w:rPr>
        <w:t>规划图件：</w:t>
      </w:r>
    </w:p>
    <w:p>
      <w:pPr>
        <w:pStyle w:val="4"/>
        <w:ind w:right="0"/>
        <w:jc w:val="both"/>
        <w:rPr>
          <w:rFonts w:hint="default" w:ascii="Times New Roman" w:hAnsi="Times New Roman" w:eastAsia="方正仿宋简体" w:cs="Times New Roman"/>
          <w:spacing w:val="-4"/>
          <w:sz w:val="34"/>
          <w:szCs w:val="34"/>
          <w:lang w:eastAsia="zh-CN"/>
        </w:rPr>
      </w:pPr>
      <w:r>
        <w:rPr>
          <w:rFonts w:hint="default" w:ascii="Times New Roman" w:hAnsi="Times New Roman" w:eastAsia="方正仿宋简体" w:cs="Times New Roman"/>
          <w:spacing w:val="-4"/>
          <w:sz w:val="34"/>
          <w:szCs w:val="34"/>
          <w:lang w:eastAsia="zh-CN"/>
        </w:rPr>
        <w:drawing>
          <wp:inline distT="0" distB="0" distL="114300" distR="114300">
            <wp:extent cx="5255895" cy="3715385"/>
            <wp:effectExtent l="0" t="0" r="1905" b="0"/>
            <wp:docPr id="1" name="图片 1"/>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true"/>
                    </pic:cNvPicPr>
                  </pic:nvPicPr>
                  <pic:blipFill>
                    <a:blip r:embed="rId4" cstate="print">
                      <a:extLst>
                        <a:ext uri="{28A0092B-C50C-407E-A947-70E740481C1C}">
                          <a14:useLocalDpi xmlns:a14="http://schemas.microsoft.com/office/drawing/2010/main" val="false"/>
                        </a:ext>
                      </a:extLst>
                    </a:blip>
                    <a:stretch>
                      <a:fillRect/>
                    </a:stretch>
                  </pic:blipFill>
                  <pic:spPr>
                    <a:xfrm>
                      <a:off x="0" y="0"/>
                      <a:ext cx="5256087" cy="3716013"/>
                    </a:xfrm>
                    <a:prstGeom prst="rect">
                      <a:avLst/>
                    </a:prstGeom>
                  </pic:spPr>
                </pic:pic>
              </a:graphicData>
            </a:graphic>
          </wp:inline>
        </w:drawing>
      </w:r>
    </w:p>
    <w:p>
      <w:pPr>
        <w:pStyle w:val="4"/>
        <w:ind w:right="0"/>
        <w:jc w:val="both"/>
        <w:rPr>
          <w:rFonts w:hint="default" w:ascii="Times New Roman" w:hAnsi="Times New Roman" w:eastAsia="方正仿宋简体" w:cs="Times New Roman"/>
          <w:spacing w:val="-4"/>
          <w:sz w:val="34"/>
          <w:szCs w:val="34"/>
          <w:lang w:eastAsia="zh-CN"/>
        </w:rPr>
      </w:pPr>
      <w:r>
        <w:rPr>
          <w:rFonts w:hint="default" w:ascii="Times New Roman" w:hAnsi="Times New Roman" w:eastAsia="方正仿宋简体" w:cs="Times New Roman"/>
          <w:spacing w:val="-4"/>
          <w:sz w:val="34"/>
          <w:szCs w:val="34"/>
          <w:lang w:eastAsia="zh-CN"/>
        </w:rPr>
        <w:drawing>
          <wp:inline distT="0" distB="0" distL="114300" distR="114300">
            <wp:extent cx="5255895" cy="3715385"/>
            <wp:effectExtent l="0" t="0" r="1905" b="0"/>
            <wp:docPr id="2" name="图片 2"/>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true"/>
                    </pic:cNvPicPr>
                  </pic:nvPicPr>
                  <pic:blipFill>
                    <a:blip r:embed="rId5" cstate="print">
                      <a:extLst>
                        <a:ext uri="{28A0092B-C50C-407E-A947-70E740481C1C}">
                          <a14:useLocalDpi xmlns:a14="http://schemas.microsoft.com/office/drawing/2010/main" val="false"/>
                        </a:ext>
                      </a:extLst>
                    </a:blip>
                    <a:stretch>
                      <a:fillRect/>
                    </a:stretch>
                  </pic:blipFill>
                  <pic:spPr>
                    <a:xfrm>
                      <a:off x="0" y="0"/>
                      <a:ext cx="5256088" cy="3716015"/>
                    </a:xfrm>
                    <a:prstGeom prst="rect">
                      <a:avLst/>
                    </a:prstGeom>
                  </pic:spPr>
                </pic:pic>
              </a:graphicData>
            </a:graphic>
          </wp:inline>
        </w:drawing>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等线">
    <w:altName w:val="宋体"/>
    <w:panose1 w:val="02010600030101010101"/>
    <w:charset w:val="86"/>
    <w:family w:val="auto"/>
    <w:pitch w:val="default"/>
    <w:sig w:usb0="00000000" w:usb1="00000000" w:usb2="00000016" w:usb3="00000000" w:csb0="0004000F" w:csb1="00000000"/>
  </w:font>
  <w:font w:name="等线">
    <w:altName w:val="仿宋"/>
    <w:panose1 w:val="00000000000000000000"/>
    <w:charset w:val="86"/>
    <w:family w:val="auto"/>
    <w:pitch w:val="default"/>
    <w:sig w:usb0="00000000" w:usb1="00000000" w:usb2="00000000" w:usb3="00000000" w:csb0="00000000" w:csb1="00000000"/>
  </w:font>
  <w:font w:name="等线">
    <w:altName w:val="仿宋"/>
    <w:panose1 w:val="00000000000000000000"/>
    <w:charset w:val="00"/>
    <w:family w:val="auto"/>
    <w:pitch w:val="default"/>
    <w:sig w:usb0="00000000" w:usb1="00000000" w:usb2="00000000" w:usb3="00000000" w:csb0="00000000" w:csb1="00000000"/>
  </w:font>
  <w:font w:name="华文仿宋">
    <w:panose1 w:val="02010600040101010101"/>
    <w:charset w:val="86"/>
    <w:family w:val="auto"/>
    <w:pitch w:val="default"/>
    <w:sig w:usb0="00000287" w:usb1="080F0000" w:usb2="00000000" w:usb3="00000000" w:csb0="0004009F" w:csb1="DFD70000"/>
  </w:font>
  <w:font w:name="方正小标宋简体">
    <w:panose1 w:val="02000000000000000000"/>
    <w:charset w:val="86"/>
    <w:family w:val="auto"/>
    <w:pitch w:val="default"/>
    <w:sig w:usb0="A00002BF" w:usb1="184F6CFA" w:usb2="00000012" w:usb3="00000000" w:csb0="00040001" w:csb1="00000000"/>
  </w:font>
  <w:font w:name="方正仿宋简体">
    <w:panose1 w:val="02000000000000000000"/>
    <w:charset w:val="86"/>
    <w:family w:val="script"/>
    <w:pitch w:val="default"/>
    <w:sig w:usb0="A00002BF" w:usb1="184F6CFA" w:usb2="00000012" w:usb3="00000000" w:csb0="00040001" w:csb1="00000000"/>
  </w:font>
  <w:font w:name="方正楷体简体">
    <w:panose1 w:val="02000000000000000000"/>
    <w:charset w:val="86"/>
    <w:family w:val="auto"/>
    <w:pitch w:val="default"/>
    <w:sig w:usb0="A00002BF" w:usb1="184F6CFA" w:usb2="00000012" w:usb3="00000000" w:csb0="00040001" w:csb1="00000000"/>
  </w:font>
  <w:font w:name="仿宋">
    <w:panose1 w:val="02010609060101010101"/>
    <w:charset w:val="86"/>
    <w:family w:val="auto"/>
    <w:pitch w:val="default"/>
    <w:sig w:usb0="800002BF" w:usb1="38CF7CFA" w:usb2="00000016" w:usb3="00000000" w:csb0="00040001" w:csb1="00000000"/>
  </w:font>
  <w:font w:name="华文彩云">
    <w:panose1 w:val="02010800040101010101"/>
    <w:charset w:val="86"/>
    <w:family w:val="auto"/>
    <w:pitch w:val="default"/>
    <w:sig w:usb0="00000001" w:usb1="080F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楷体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true"/>
  <w:bordersDoNotSurroundFooter w:val="true"/>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jJjZjQ5YzU1YjBjMGE1MGE4NzIwZjgzYjE0N2JlNWMifQ=="/>
  </w:docVars>
  <w:rsids>
    <w:rsidRoot w:val="00FE4303"/>
    <w:rsid w:val="000122A7"/>
    <w:rsid w:val="000501AA"/>
    <w:rsid w:val="000573E8"/>
    <w:rsid w:val="00063991"/>
    <w:rsid w:val="00074C33"/>
    <w:rsid w:val="000C0DC0"/>
    <w:rsid w:val="000C53E6"/>
    <w:rsid w:val="000F2331"/>
    <w:rsid w:val="00110A64"/>
    <w:rsid w:val="00123A0F"/>
    <w:rsid w:val="00123F50"/>
    <w:rsid w:val="001379E7"/>
    <w:rsid w:val="001410A3"/>
    <w:rsid w:val="00150901"/>
    <w:rsid w:val="00172393"/>
    <w:rsid w:val="00186ABD"/>
    <w:rsid w:val="0019463A"/>
    <w:rsid w:val="001A2763"/>
    <w:rsid w:val="001C13B6"/>
    <w:rsid w:val="001D102E"/>
    <w:rsid w:val="001D1A6F"/>
    <w:rsid w:val="001E63CC"/>
    <w:rsid w:val="001F5B40"/>
    <w:rsid w:val="00215C89"/>
    <w:rsid w:val="0023784B"/>
    <w:rsid w:val="00291162"/>
    <w:rsid w:val="002A07F7"/>
    <w:rsid w:val="002B45BA"/>
    <w:rsid w:val="002C1349"/>
    <w:rsid w:val="002F0364"/>
    <w:rsid w:val="00317006"/>
    <w:rsid w:val="00317280"/>
    <w:rsid w:val="00337999"/>
    <w:rsid w:val="00337AC5"/>
    <w:rsid w:val="0036272E"/>
    <w:rsid w:val="003631B3"/>
    <w:rsid w:val="00363326"/>
    <w:rsid w:val="003929B5"/>
    <w:rsid w:val="00392D9F"/>
    <w:rsid w:val="00393E1A"/>
    <w:rsid w:val="003B3B58"/>
    <w:rsid w:val="003E2368"/>
    <w:rsid w:val="004019EA"/>
    <w:rsid w:val="00406C7F"/>
    <w:rsid w:val="00414B4E"/>
    <w:rsid w:val="004460CA"/>
    <w:rsid w:val="00447726"/>
    <w:rsid w:val="00465C29"/>
    <w:rsid w:val="00466866"/>
    <w:rsid w:val="00467D5F"/>
    <w:rsid w:val="00531DB3"/>
    <w:rsid w:val="005400EA"/>
    <w:rsid w:val="00541418"/>
    <w:rsid w:val="005852AD"/>
    <w:rsid w:val="00586D17"/>
    <w:rsid w:val="00590F91"/>
    <w:rsid w:val="005A657B"/>
    <w:rsid w:val="005B6688"/>
    <w:rsid w:val="005C6659"/>
    <w:rsid w:val="005F70AF"/>
    <w:rsid w:val="00631121"/>
    <w:rsid w:val="00670122"/>
    <w:rsid w:val="006D00E5"/>
    <w:rsid w:val="006F5803"/>
    <w:rsid w:val="007046F5"/>
    <w:rsid w:val="00704DFC"/>
    <w:rsid w:val="00755504"/>
    <w:rsid w:val="00767728"/>
    <w:rsid w:val="007A08F4"/>
    <w:rsid w:val="007C291C"/>
    <w:rsid w:val="007D1881"/>
    <w:rsid w:val="007D3495"/>
    <w:rsid w:val="007D3F90"/>
    <w:rsid w:val="007E392E"/>
    <w:rsid w:val="008122C4"/>
    <w:rsid w:val="0086185E"/>
    <w:rsid w:val="00870A08"/>
    <w:rsid w:val="00896CCB"/>
    <w:rsid w:val="008C5877"/>
    <w:rsid w:val="008D29A2"/>
    <w:rsid w:val="008F1846"/>
    <w:rsid w:val="0092760F"/>
    <w:rsid w:val="00990C88"/>
    <w:rsid w:val="009935B3"/>
    <w:rsid w:val="009F409C"/>
    <w:rsid w:val="00A101E1"/>
    <w:rsid w:val="00A2748D"/>
    <w:rsid w:val="00A51C6E"/>
    <w:rsid w:val="00A531E5"/>
    <w:rsid w:val="00A760B0"/>
    <w:rsid w:val="00A76176"/>
    <w:rsid w:val="00A92722"/>
    <w:rsid w:val="00A93218"/>
    <w:rsid w:val="00AA7C68"/>
    <w:rsid w:val="00AB507B"/>
    <w:rsid w:val="00AB6C1E"/>
    <w:rsid w:val="00B41FA1"/>
    <w:rsid w:val="00B71CC7"/>
    <w:rsid w:val="00B86406"/>
    <w:rsid w:val="00BE2948"/>
    <w:rsid w:val="00C13754"/>
    <w:rsid w:val="00C16606"/>
    <w:rsid w:val="00C27F94"/>
    <w:rsid w:val="00C67466"/>
    <w:rsid w:val="00C765B1"/>
    <w:rsid w:val="00CA25E2"/>
    <w:rsid w:val="00CB2D2C"/>
    <w:rsid w:val="00CB62C4"/>
    <w:rsid w:val="00CE7250"/>
    <w:rsid w:val="00D00026"/>
    <w:rsid w:val="00D0602A"/>
    <w:rsid w:val="00D64F3E"/>
    <w:rsid w:val="00DB64B7"/>
    <w:rsid w:val="00DE54D7"/>
    <w:rsid w:val="00DF1D11"/>
    <w:rsid w:val="00E15D75"/>
    <w:rsid w:val="00E42D4C"/>
    <w:rsid w:val="00E51718"/>
    <w:rsid w:val="00E664CB"/>
    <w:rsid w:val="00EB0DE3"/>
    <w:rsid w:val="00EB47F4"/>
    <w:rsid w:val="00F16277"/>
    <w:rsid w:val="00F2438F"/>
    <w:rsid w:val="00F464BB"/>
    <w:rsid w:val="00F543B9"/>
    <w:rsid w:val="00F56802"/>
    <w:rsid w:val="00F60FC0"/>
    <w:rsid w:val="00F638BE"/>
    <w:rsid w:val="00F72FA1"/>
    <w:rsid w:val="00F8299C"/>
    <w:rsid w:val="00F97759"/>
    <w:rsid w:val="00FA2BE3"/>
    <w:rsid w:val="00FD594A"/>
    <w:rsid w:val="00FE4303"/>
    <w:rsid w:val="00FE531C"/>
    <w:rsid w:val="0E722CBD"/>
    <w:rsid w:val="1DAA3632"/>
    <w:rsid w:val="2C5777FE"/>
    <w:rsid w:val="37A17D09"/>
    <w:rsid w:val="3EF1FFC8"/>
    <w:rsid w:val="7EFE058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15"/>
    <w:qFormat/>
    <w:uiPriority w:val="9"/>
    <w:pPr>
      <w:autoSpaceDE w:val="0"/>
      <w:autoSpaceDN w:val="0"/>
      <w:ind w:left="120"/>
      <w:jc w:val="left"/>
      <w:outlineLvl w:val="0"/>
    </w:pPr>
    <w:rPr>
      <w:rFonts w:ascii="宋体" w:hAnsi="宋体" w:eastAsia="宋体" w:cs="宋体"/>
      <w:b/>
      <w:bCs/>
      <w:kern w:val="0"/>
      <w:sz w:val="28"/>
      <w:szCs w:val="28"/>
      <w:lang w:eastAsia="en-US"/>
    </w:rPr>
  </w:style>
  <w:style w:type="character" w:default="1" w:styleId="10">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3">
    <w:name w:val="annotation text"/>
    <w:basedOn w:val="1"/>
    <w:link w:val="19"/>
    <w:semiHidden/>
    <w:unhideWhenUsed/>
    <w:qFormat/>
    <w:uiPriority w:val="99"/>
    <w:pPr>
      <w:jc w:val="left"/>
    </w:pPr>
  </w:style>
  <w:style w:type="paragraph" w:styleId="4">
    <w:name w:val="Body Text"/>
    <w:basedOn w:val="1"/>
    <w:link w:val="14"/>
    <w:qFormat/>
    <w:uiPriority w:val="1"/>
    <w:pPr>
      <w:autoSpaceDE w:val="0"/>
      <w:autoSpaceDN w:val="0"/>
      <w:ind w:left="120" w:right="357"/>
      <w:jc w:val="left"/>
    </w:pPr>
    <w:rPr>
      <w:rFonts w:ascii="华文仿宋" w:hAnsi="华文仿宋" w:eastAsia="华文仿宋" w:cs="华文仿宋"/>
      <w:kern w:val="0"/>
      <w:sz w:val="24"/>
      <w:szCs w:val="24"/>
      <w:lang w:eastAsia="en-US"/>
    </w:rPr>
  </w:style>
  <w:style w:type="paragraph" w:styleId="5">
    <w:name w:val="footer"/>
    <w:basedOn w:val="1"/>
    <w:link w:val="17"/>
    <w:unhideWhenUsed/>
    <w:qFormat/>
    <w:uiPriority w:val="99"/>
    <w:pPr>
      <w:tabs>
        <w:tab w:val="center" w:pos="4153"/>
        <w:tab w:val="right" w:pos="8306"/>
      </w:tabs>
      <w:snapToGrid w:val="0"/>
      <w:jc w:val="left"/>
    </w:pPr>
    <w:rPr>
      <w:sz w:val="18"/>
      <w:szCs w:val="18"/>
    </w:rPr>
  </w:style>
  <w:style w:type="paragraph" w:styleId="6">
    <w:name w:val="header"/>
    <w:basedOn w:val="1"/>
    <w:link w:val="16"/>
    <w:unhideWhenUsed/>
    <w:qFormat/>
    <w:uiPriority w:val="99"/>
    <w:pPr>
      <w:tabs>
        <w:tab w:val="center" w:pos="4153"/>
        <w:tab w:val="right" w:pos="8306"/>
      </w:tabs>
      <w:snapToGrid w:val="0"/>
      <w:jc w:val="center"/>
    </w:pPr>
    <w:rPr>
      <w:sz w:val="18"/>
      <w:szCs w:val="18"/>
    </w:rPr>
  </w:style>
  <w:style w:type="paragraph" w:styleId="7">
    <w:name w:val="Title"/>
    <w:basedOn w:val="1"/>
    <w:link w:val="13"/>
    <w:qFormat/>
    <w:uiPriority w:val="10"/>
    <w:pPr>
      <w:autoSpaceDE w:val="0"/>
      <w:autoSpaceDN w:val="0"/>
      <w:spacing w:before="37"/>
      <w:ind w:left="3192" w:right="895" w:hanging="2535"/>
      <w:jc w:val="left"/>
    </w:pPr>
    <w:rPr>
      <w:rFonts w:ascii="华文仿宋" w:hAnsi="华文仿宋" w:eastAsia="华文仿宋" w:cs="华文仿宋"/>
      <w:b/>
      <w:bCs/>
      <w:kern w:val="0"/>
      <w:sz w:val="36"/>
      <w:szCs w:val="36"/>
      <w:lang w:eastAsia="en-US"/>
    </w:rPr>
  </w:style>
  <w:style w:type="paragraph" w:styleId="8">
    <w:name w:val="annotation subject"/>
    <w:basedOn w:val="3"/>
    <w:next w:val="3"/>
    <w:link w:val="20"/>
    <w:semiHidden/>
    <w:unhideWhenUsed/>
    <w:qFormat/>
    <w:uiPriority w:val="99"/>
    <w:rPr>
      <w:b/>
      <w:bCs/>
    </w:rPr>
  </w:style>
  <w:style w:type="character" w:styleId="11">
    <w:name w:val="annotation reference"/>
    <w:basedOn w:val="10"/>
    <w:semiHidden/>
    <w:unhideWhenUsed/>
    <w:qFormat/>
    <w:uiPriority w:val="99"/>
    <w:rPr>
      <w:sz w:val="21"/>
      <w:szCs w:val="21"/>
    </w:rPr>
  </w:style>
  <w:style w:type="paragraph" w:styleId="12">
    <w:name w:val="List Paragraph"/>
    <w:basedOn w:val="1"/>
    <w:qFormat/>
    <w:uiPriority w:val="34"/>
    <w:pPr>
      <w:ind w:firstLine="420" w:firstLineChars="200"/>
    </w:pPr>
  </w:style>
  <w:style w:type="character" w:customStyle="1" w:styleId="13">
    <w:name w:val="标题 字符"/>
    <w:basedOn w:val="10"/>
    <w:link w:val="7"/>
    <w:qFormat/>
    <w:uiPriority w:val="10"/>
    <w:rPr>
      <w:rFonts w:ascii="华文仿宋" w:hAnsi="华文仿宋" w:eastAsia="华文仿宋" w:cs="华文仿宋"/>
      <w:b/>
      <w:bCs/>
      <w:kern w:val="0"/>
      <w:sz w:val="36"/>
      <w:szCs w:val="36"/>
      <w:lang w:eastAsia="en-US"/>
    </w:rPr>
  </w:style>
  <w:style w:type="character" w:customStyle="1" w:styleId="14">
    <w:name w:val="正文文本 字符"/>
    <w:basedOn w:val="10"/>
    <w:link w:val="4"/>
    <w:qFormat/>
    <w:uiPriority w:val="1"/>
    <w:rPr>
      <w:rFonts w:ascii="华文仿宋" w:hAnsi="华文仿宋" w:eastAsia="华文仿宋" w:cs="华文仿宋"/>
      <w:kern w:val="0"/>
      <w:sz w:val="24"/>
      <w:szCs w:val="24"/>
      <w:lang w:eastAsia="en-US"/>
    </w:rPr>
  </w:style>
  <w:style w:type="character" w:customStyle="1" w:styleId="15">
    <w:name w:val="标题 1 字符"/>
    <w:basedOn w:val="10"/>
    <w:link w:val="2"/>
    <w:qFormat/>
    <w:uiPriority w:val="9"/>
    <w:rPr>
      <w:rFonts w:ascii="宋体" w:hAnsi="宋体" w:eastAsia="宋体" w:cs="宋体"/>
      <w:b/>
      <w:bCs/>
      <w:kern w:val="0"/>
      <w:sz w:val="28"/>
      <w:szCs w:val="28"/>
      <w:lang w:eastAsia="en-US"/>
    </w:rPr>
  </w:style>
  <w:style w:type="character" w:customStyle="1" w:styleId="16">
    <w:name w:val="页眉 字符"/>
    <w:basedOn w:val="10"/>
    <w:link w:val="6"/>
    <w:qFormat/>
    <w:uiPriority w:val="99"/>
    <w:rPr>
      <w:sz w:val="18"/>
      <w:szCs w:val="18"/>
    </w:rPr>
  </w:style>
  <w:style w:type="character" w:customStyle="1" w:styleId="17">
    <w:name w:val="页脚 字符"/>
    <w:basedOn w:val="10"/>
    <w:link w:val="5"/>
    <w:qFormat/>
    <w:uiPriority w:val="99"/>
    <w:rPr>
      <w:sz w:val="18"/>
      <w:szCs w:val="18"/>
    </w:rPr>
  </w:style>
  <w:style w:type="paragraph" w:customStyle="1" w:styleId="18">
    <w:name w:val="修订1"/>
    <w:hidden/>
    <w:semiHidden/>
    <w:qFormat/>
    <w:uiPriority w:val="99"/>
    <w:rPr>
      <w:rFonts w:asciiTheme="minorHAnsi" w:hAnsiTheme="minorHAnsi" w:eastAsiaTheme="minorEastAsia" w:cstheme="minorBidi"/>
      <w:kern w:val="2"/>
      <w:sz w:val="21"/>
      <w:szCs w:val="22"/>
      <w:lang w:val="en-US" w:eastAsia="zh-CN" w:bidi="ar-SA"/>
    </w:rPr>
  </w:style>
  <w:style w:type="character" w:customStyle="1" w:styleId="19">
    <w:name w:val="批注文字 字符"/>
    <w:basedOn w:val="10"/>
    <w:link w:val="3"/>
    <w:semiHidden/>
    <w:qFormat/>
    <w:uiPriority w:val="99"/>
  </w:style>
  <w:style w:type="character" w:customStyle="1" w:styleId="20">
    <w:name w:val="批注主题 字符"/>
    <w:basedOn w:val="19"/>
    <w:link w:val="8"/>
    <w:semiHidden/>
    <w:qFormat/>
    <w:uiPriority w:val="99"/>
    <w:rPr>
      <w:b/>
      <w:bCs/>
    </w:rPr>
  </w:style>
  <w:style w:type="paragraph" w:customStyle="1" w:styleId="21">
    <w:name w:val="Revision"/>
    <w:hidden/>
    <w:unhideWhenUsed/>
    <w:qFormat/>
    <w:uiPriority w:val="99"/>
    <w:rPr>
      <w:rFonts w:asciiTheme="minorHAnsi" w:hAnsiTheme="minorHAnsi" w:eastAsiaTheme="minorEastAsia" w:cstheme="minorBidi"/>
      <w:kern w:val="2"/>
      <w:sz w:val="21"/>
      <w:szCs w:val="22"/>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image" Target="media/image2.jpeg"/><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5</Pages>
  <Words>258</Words>
  <Characters>1474</Characters>
  <Lines>12</Lines>
  <Paragraphs>3</Paragraphs>
  <TotalTime>65</TotalTime>
  <ScaleCrop>false</ScaleCrop>
  <LinksUpToDate>false</LinksUpToDate>
  <CharactersWithSpaces>1729</CharactersWithSpaces>
  <Application>WPS Office_11.8.2.10195_F1E327BC-269C-435d-A152-05C5408002CA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2024-05-06T19:44:00Z</dcterms:created>
  <dc:creator>Administrator</dc:creator>
  <cp:lastModifiedBy>greatwall</cp:lastModifiedBy>
  <dcterms:modified xsi:type="dcterms:W3CDTF">2024-05-08T15:21:12Z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2052-11.8.2.10195</vt:lpwstr>
  </property>
  <property fmtid="{D5CDD505-2E9C-101B-9397-08002B2CF9AE}" pid="3" name="ICV">
    <vt:lpwstr>E21E7BA59D084430B94D20C636D0C6B7_12</vt:lpwstr>
  </property>
</Properties>
</file>