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cs="Arial" w:hint="eastAsia"/>
          <w:color w:val="3A3A3A"/>
          <w:sz w:val="32"/>
          <w:szCs w:val="32"/>
        </w:rPr>
        <w:t>附件：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1"/>
          <w:szCs w:val="21"/>
        </w:rPr>
      </w:pPr>
      <w:r>
        <w:rPr>
          <w:rFonts w:ascii="方正小标宋简体" w:eastAsia="方正小标宋简体" w:hAnsi="方正小标宋简体" w:cs="Arial" w:hint="eastAsia"/>
          <w:color w:val="3A3A3A"/>
          <w:sz w:val="44"/>
          <w:szCs w:val="44"/>
        </w:rPr>
        <w:t> 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1"/>
          <w:szCs w:val="21"/>
        </w:rPr>
      </w:pPr>
      <w:r>
        <w:rPr>
          <w:rFonts w:ascii="方正小标宋简体" w:eastAsia="方正小标宋简体" w:hAnsi="方正小标宋简体" w:cs="Arial" w:hint="eastAsia"/>
          <w:color w:val="3A3A3A"/>
          <w:sz w:val="44"/>
          <w:szCs w:val="44"/>
        </w:rPr>
        <w:t>关于停车场用地管理有关意见的通知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Arial" w:cs="Arial" w:hint="eastAsia"/>
          <w:color w:val="3A3A3A"/>
          <w:sz w:val="32"/>
          <w:szCs w:val="32"/>
        </w:rPr>
      </w:pP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1"/>
          <w:szCs w:val="21"/>
        </w:rPr>
      </w:pPr>
      <w:r>
        <w:rPr>
          <w:rFonts w:ascii="仿宋_GB2312" w:eastAsia="仿宋_GB2312" w:hAnsi="Arial" w:cs="Arial" w:hint="eastAsia"/>
          <w:color w:val="3A3A3A"/>
          <w:sz w:val="32"/>
          <w:szCs w:val="32"/>
        </w:rPr>
        <w:t>各有关单位：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A3A3A"/>
          <w:sz w:val="21"/>
          <w:szCs w:val="21"/>
        </w:rPr>
      </w:pPr>
      <w:r>
        <w:rPr>
          <w:rFonts w:ascii="仿宋_GB2312" w:eastAsia="仿宋_GB2312" w:hAnsi="Arial" w:cs="Arial" w:hint="eastAsia"/>
          <w:color w:val="3A3A3A"/>
          <w:sz w:val="32"/>
          <w:szCs w:val="32"/>
        </w:rPr>
        <w:t>为加快城市停车场建设，缓解停车难问题，现停车场用地管理有关问题提出如下意见：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A3A3A"/>
          <w:sz w:val="21"/>
          <w:szCs w:val="21"/>
        </w:rPr>
      </w:pPr>
      <w:r>
        <w:rPr>
          <w:rFonts w:ascii="仿宋_GB2312" w:eastAsia="仿宋_GB2312" w:hAnsi="Arial" w:cs="Arial" w:hint="eastAsia"/>
          <w:color w:val="3A3A3A"/>
          <w:sz w:val="32"/>
          <w:szCs w:val="32"/>
        </w:rPr>
        <w:t>一、符合《划拨用地目录》的公共交通车辆停车场用地，可采取划拨方式供地。划拨存量建设用地上从事停车场建设，可继续保留划拨方式。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A3A3A"/>
          <w:sz w:val="21"/>
          <w:szCs w:val="21"/>
        </w:rPr>
      </w:pPr>
      <w:r>
        <w:rPr>
          <w:rFonts w:ascii="仿宋_GB2312" w:eastAsia="仿宋_GB2312" w:hAnsi="Arial" w:cs="Arial" w:hint="eastAsia"/>
          <w:color w:val="3A3A3A"/>
          <w:sz w:val="32"/>
          <w:szCs w:val="32"/>
        </w:rPr>
        <w:t>二、对新建独立占地、经营性的公共停车场用地，用地公告后，只有一个意向用地者的，可以协议方式供应土地。其中以出让方式供应的，出让年限最高不超过50年。以租赁方式供应的，租赁期限不超过20年。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A3A3A"/>
          <w:sz w:val="21"/>
          <w:szCs w:val="21"/>
        </w:rPr>
      </w:pPr>
      <w:r>
        <w:rPr>
          <w:rFonts w:ascii="仿宋_GB2312" w:eastAsia="仿宋_GB2312" w:hAnsi="Arial" w:cs="Arial" w:hint="eastAsia"/>
          <w:color w:val="3A3A3A"/>
          <w:sz w:val="32"/>
          <w:szCs w:val="32"/>
        </w:rPr>
        <w:t>出让底价按照停车场用地估价结果、产业政策、土地市场情况等综合确定，不得低于国家规定的最低价标准。土地出让金政府净收益不低于出让底价的</w:t>
      </w:r>
      <w:r>
        <w:rPr>
          <w:rFonts w:ascii="Arial" w:hAnsi="Arial" w:cs="Arial"/>
          <w:color w:val="3A3A3A"/>
          <w:sz w:val="32"/>
          <w:szCs w:val="32"/>
        </w:rPr>
        <w:t>1.5%</w:t>
      </w:r>
      <w:r>
        <w:rPr>
          <w:rFonts w:ascii="仿宋_GB2312" w:eastAsia="仿宋_GB2312" w:hAnsi="Arial" w:cs="Arial" w:hint="eastAsia"/>
          <w:color w:val="3A3A3A"/>
          <w:sz w:val="32"/>
          <w:szCs w:val="32"/>
        </w:rPr>
        <w:t>。利用地下空间建设的停车场，土地出让金政府净收益不低于地表出让底价的</w:t>
      </w:r>
      <w:r>
        <w:rPr>
          <w:rFonts w:ascii="Arial" w:hAnsi="Arial" w:cs="Arial"/>
          <w:color w:val="3A3A3A"/>
          <w:sz w:val="32"/>
          <w:szCs w:val="32"/>
        </w:rPr>
        <w:t>0.5%</w:t>
      </w:r>
      <w:r>
        <w:rPr>
          <w:rFonts w:ascii="仿宋_GB2312" w:eastAsia="仿宋_GB2312" w:hAnsi="Arial" w:cs="Arial" w:hint="eastAsia"/>
          <w:color w:val="3A3A3A"/>
          <w:sz w:val="32"/>
          <w:szCs w:val="32"/>
        </w:rPr>
        <w:t>。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A3A3A"/>
          <w:sz w:val="21"/>
          <w:szCs w:val="21"/>
        </w:rPr>
      </w:pPr>
      <w:r>
        <w:rPr>
          <w:rFonts w:ascii="仿宋_GB2312" w:eastAsia="仿宋_GB2312" w:hAnsi="Arial" w:cs="Arial" w:hint="eastAsia"/>
          <w:color w:val="3A3A3A"/>
          <w:sz w:val="32"/>
          <w:szCs w:val="32"/>
        </w:rPr>
        <w:t>意向用地者已支付土地成本的，经区出让协调决策机构集体认定，协议出让可收取土地出让金政府净收益。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A3A3A"/>
          <w:sz w:val="21"/>
          <w:szCs w:val="21"/>
        </w:rPr>
      </w:pPr>
      <w:r>
        <w:rPr>
          <w:rFonts w:ascii="仿宋_GB2312" w:eastAsia="仿宋_GB2312" w:hAnsi="Arial" w:cs="Arial" w:hint="eastAsia"/>
          <w:color w:val="3A3A3A"/>
          <w:sz w:val="32"/>
          <w:szCs w:val="32"/>
        </w:rPr>
        <w:lastRenderedPageBreak/>
        <w:t>三、因用地兼容、转让等原因以及已建成的停车场办理土地有偿使用手续的，按上述标准收取土地出让金政府净收益。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ind w:firstLine="645"/>
        <w:rPr>
          <w:rFonts w:ascii="Arial" w:hAnsi="Arial" w:cs="Arial"/>
          <w:color w:val="3A3A3A"/>
          <w:sz w:val="21"/>
          <w:szCs w:val="21"/>
        </w:rPr>
      </w:pPr>
      <w:r>
        <w:rPr>
          <w:rFonts w:ascii="仿宋_GB2312" w:eastAsia="仿宋_GB2312" w:hAnsi="Arial" w:cs="Arial" w:hint="eastAsia"/>
          <w:color w:val="3A3A3A"/>
          <w:sz w:val="32"/>
          <w:szCs w:val="32"/>
        </w:rPr>
        <w:t>四、采用租赁或先租后让方式供应停车场用地的，租金标准应与出让金标准相均衡。</w:t>
      </w:r>
    </w:p>
    <w:p w:rsidR="00A31B89" w:rsidRDefault="00A31B89" w:rsidP="00A31B89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Arial" w:hAnsi="Arial" w:cs="Arial"/>
          <w:color w:val="3A3A3A"/>
          <w:sz w:val="21"/>
          <w:szCs w:val="21"/>
        </w:rPr>
      </w:pPr>
      <w:r>
        <w:rPr>
          <w:rFonts w:ascii="仿宋_GB2312" w:eastAsia="仿宋_GB2312" w:hAnsi="Arial" w:cs="Arial" w:hint="eastAsia"/>
          <w:color w:val="3A3A3A"/>
          <w:sz w:val="32"/>
          <w:szCs w:val="32"/>
        </w:rPr>
        <w:t>五、以出让方式供地的，停车场建筑面积不计入容积率，不收取土地出让金。对新建建筑充分利用地下空间，超过停车配建标准建设地下停车场，并作为公共停车场向社会开放的超配部分，符合规划的，可</w:t>
      </w:r>
      <w:proofErr w:type="gramStart"/>
      <w:r>
        <w:rPr>
          <w:rFonts w:ascii="仿宋_GB2312" w:eastAsia="仿宋_GB2312" w:hAnsi="Arial" w:cs="Arial" w:hint="eastAsia"/>
          <w:color w:val="3A3A3A"/>
          <w:sz w:val="32"/>
          <w:szCs w:val="32"/>
        </w:rPr>
        <w:t>不计收</w:t>
      </w:r>
      <w:proofErr w:type="gramEnd"/>
      <w:r>
        <w:rPr>
          <w:rFonts w:ascii="仿宋_GB2312" w:eastAsia="仿宋_GB2312" w:hAnsi="Arial" w:cs="Arial" w:hint="eastAsia"/>
          <w:color w:val="3A3A3A"/>
          <w:sz w:val="32"/>
          <w:szCs w:val="32"/>
        </w:rPr>
        <w:t>土地出让金。在符合规划相关标准规范的前提下，在已建成的住宅小区内增加停车设施建筑面积的，可不增收土地出让金。</w:t>
      </w:r>
      <w:bookmarkStart w:id="0" w:name="_GoBack"/>
      <w:bookmarkEnd w:id="0"/>
    </w:p>
    <w:p w:rsidR="003F596C" w:rsidRPr="00A31B89" w:rsidRDefault="003F596C"/>
    <w:sectPr w:rsidR="003F596C" w:rsidRPr="00A31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7A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9"/>
    <w:rsid w:val="003F596C"/>
    <w:rsid w:val="00A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B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B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2021-05-17T03:23:00Z</dcterms:created>
  <dcterms:modified xsi:type="dcterms:W3CDTF">2021-05-17T03:24:00Z</dcterms:modified>
</cp:coreProperties>
</file>